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0"/>
        <w:tblW w:w="8993" w:type="dxa"/>
        <w:tblInd w:w="115" w:type="dxa"/>
        <w:tblLayout w:type="fixed"/>
        <w:tblLook w:val="0000" w:firstRow="0" w:lastRow="0" w:firstColumn="0" w:lastColumn="0" w:noHBand="0" w:noVBand="0"/>
      </w:tblPr>
      <w:tblGrid>
        <w:gridCol w:w="3254"/>
        <w:gridCol w:w="5739"/>
      </w:tblGrid>
      <w:tr w:rsidR="003516FE" w:rsidRPr="003516FE" w14:paraId="74CF90D8" w14:textId="77777777" w:rsidTr="00BB6BF7">
        <w:trPr>
          <w:trHeight w:val="851"/>
        </w:trPr>
        <w:tc>
          <w:tcPr>
            <w:tcW w:w="3254" w:type="dxa"/>
          </w:tcPr>
          <w:p w14:paraId="2A403CE1" w14:textId="39663589" w:rsidR="00412054" w:rsidRPr="003516FE" w:rsidRDefault="00096B7E" w:rsidP="00011B54">
            <w:pPr>
              <w:jc w:val="center"/>
              <w:rPr>
                <w:b/>
                <w:sz w:val="26"/>
                <w:szCs w:val="26"/>
              </w:rPr>
            </w:pPr>
            <w:r w:rsidRPr="003516FE">
              <w:rPr>
                <w:b/>
                <w:sz w:val="26"/>
                <w:szCs w:val="26"/>
              </w:rPr>
              <w:t>BỘ CÔNG THƯƠNG</w:t>
            </w:r>
          </w:p>
          <w:bookmarkStart w:id="0" w:name="bookmark=id.30j0zll" w:colFirst="0" w:colLast="0"/>
          <w:bookmarkStart w:id="1" w:name="bookmark=id.gjdgxs" w:colFirst="0" w:colLast="0"/>
          <w:bookmarkEnd w:id="0"/>
          <w:bookmarkEnd w:id="1"/>
          <w:p w14:paraId="3D43F6FF" w14:textId="015743BB" w:rsidR="00412054" w:rsidRPr="003516FE" w:rsidRDefault="0012007A" w:rsidP="00011B54">
            <w:pPr>
              <w:tabs>
                <w:tab w:val="left" w:pos="2424"/>
              </w:tabs>
              <w:spacing w:before="360"/>
              <w:jc w:val="center"/>
              <w:rPr>
                <w:sz w:val="28"/>
                <w:szCs w:val="28"/>
              </w:rPr>
            </w:pPr>
            <w:r w:rsidRPr="003516FE">
              <w:rPr>
                <w:noProof/>
                <w:sz w:val="28"/>
                <w:szCs w:val="28"/>
                <w:lang w:val="en-US"/>
              </w:rPr>
              <mc:AlternateContent>
                <mc:Choice Requires="wps">
                  <w:drawing>
                    <wp:anchor distT="0" distB="0" distL="114300" distR="114300" simplePos="0" relativeHeight="251659264" behindDoc="0" locked="0" layoutInCell="1" allowOverlap="1" wp14:anchorId="20EE8968" wp14:editId="0B8ACFC7">
                      <wp:simplePos x="0" y="0"/>
                      <wp:positionH relativeFrom="column">
                        <wp:posOffset>458470</wp:posOffset>
                      </wp:positionH>
                      <wp:positionV relativeFrom="paragraph">
                        <wp:posOffset>20320</wp:posOffset>
                      </wp:positionV>
                      <wp:extent cx="815340" cy="0"/>
                      <wp:effectExtent l="0" t="0" r="22860" b="19050"/>
                      <wp:wrapNone/>
                      <wp:docPr id="1392802600" name="Straight Connector 1"/>
                      <wp:cNvGraphicFramePr/>
                      <a:graphic xmlns:a="http://schemas.openxmlformats.org/drawingml/2006/main">
                        <a:graphicData uri="http://schemas.microsoft.com/office/word/2010/wordprocessingShape">
                          <wps:wsp>
                            <wps:cNvCnPr/>
                            <wps:spPr>
                              <a:xfrm>
                                <a:off x="0" y="0"/>
                                <a:ext cx="815340"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B0035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1pt,1.6pt" to="100.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" strokecolor="black [3213]">
                      <v:stroke joinstyle="miter"/>
                    </v:line>
                  </w:pict>
                </mc:Fallback>
              </mc:AlternateContent>
            </w:r>
            <w:r w:rsidRPr="003516FE">
              <w:rPr>
                <w:sz w:val="28"/>
                <w:szCs w:val="28"/>
              </w:rPr>
              <w:t>Số:</w:t>
            </w:r>
            <w:r w:rsidR="0050041A" w:rsidRPr="003516FE">
              <w:rPr>
                <w:sz w:val="28"/>
                <w:szCs w:val="28"/>
              </w:rPr>
              <w:t xml:space="preserve">             </w:t>
            </w:r>
            <w:r w:rsidRPr="003516FE">
              <w:rPr>
                <w:sz w:val="28"/>
                <w:szCs w:val="28"/>
              </w:rPr>
              <w:t>/BC-BCT</w:t>
            </w:r>
          </w:p>
        </w:tc>
        <w:tc>
          <w:tcPr>
            <w:tcW w:w="5739" w:type="dxa"/>
          </w:tcPr>
          <w:p w14:paraId="73676196" w14:textId="77777777" w:rsidR="00412054" w:rsidRPr="003516FE" w:rsidRDefault="00A93337" w:rsidP="00D128A3">
            <w:pPr>
              <w:jc w:val="center"/>
              <w:rPr>
                <w:b/>
                <w:sz w:val="26"/>
                <w:szCs w:val="26"/>
              </w:rPr>
            </w:pPr>
            <w:r w:rsidRPr="003516FE">
              <w:rPr>
                <w:b/>
                <w:sz w:val="26"/>
                <w:szCs w:val="26"/>
              </w:rPr>
              <w:t>CỘNG HOÀ XÃ HỘI CHỦ NGHĨA VIỆT NAM</w:t>
            </w:r>
          </w:p>
          <w:p w14:paraId="6017A63C" w14:textId="77777777" w:rsidR="00412054" w:rsidRPr="003516FE" w:rsidRDefault="00A93337" w:rsidP="00D128A3">
            <w:pPr>
              <w:jc w:val="center"/>
              <w:rPr>
                <w:b/>
                <w:sz w:val="28"/>
                <w:szCs w:val="28"/>
              </w:rPr>
            </w:pPr>
            <w:r w:rsidRPr="003516FE">
              <w:rPr>
                <w:b/>
                <w:sz w:val="28"/>
                <w:szCs w:val="28"/>
              </w:rPr>
              <w:t>Độc lập - Tự do - Hạnh phúc</w:t>
            </w:r>
          </w:p>
          <w:p w14:paraId="0651379F" w14:textId="29B288A9" w:rsidR="00412054" w:rsidRPr="003516FE" w:rsidRDefault="0012007A" w:rsidP="00A510B8">
            <w:pPr>
              <w:spacing w:before="120"/>
              <w:jc w:val="center"/>
              <w:rPr>
                <w:bCs/>
                <w:sz w:val="26"/>
                <w:szCs w:val="26"/>
              </w:rPr>
            </w:pPr>
            <w:r w:rsidRPr="003516FE">
              <w:rPr>
                <w:bCs/>
                <w:noProof/>
                <w:sz w:val="26"/>
                <w:szCs w:val="26"/>
                <w:lang w:val="en-US"/>
              </w:rPr>
              <mc:AlternateContent>
                <mc:Choice Requires="wps">
                  <w:drawing>
                    <wp:anchor distT="0" distB="0" distL="114300" distR="114300" simplePos="0" relativeHeight="251660288" behindDoc="0" locked="0" layoutInCell="1" allowOverlap="1" wp14:anchorId="7A171610" wp14:editId="44C05CB5">
                      <wp:simplePos x="0" y="0"/>
                      <wp:positionH relativeFrom="column">
                        <wp:posOffset>692785</wp:posOffset>
                      </wp:positionH>
                      <wp:positionV relativeFrom="paragraph">
                        <wp:posOffset>20955</wp:posOffset>
                      </wp:positionV>
                      <wp:extent cx="2095500" cy="0"/>
                      <wp:effectExtent l="0" t="0" r="19050" b="19050"/>
                      <wp:wrapNone/>
                      <wp:docPr id="1871547361" name="Straight Connector 2"/>
                      <wp:cNvGraphicFramePr/>
                      <a:graphic xmlns:a="http://schemas.openxmlformats.org/drawingml/2006/main">
                        <a:graphicData uri="http://schemas.microsoft.com/office/word/2010/wordprocessingShape">
                          <wps:wsp>
                            <wps:cNvCnPr/>
                            <wps:spPr>
                              <a:xfrm>
                                <a:off x="0" y="0"/>
                                <a:ext cx="20955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36F28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4.55pt,1.65pt" to="219.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" strokecolor="black [3200]">
                      <v:stroke joinstyle="miter"/>
                    </v:line>
                  </w:pict>
                </mc:Fallback>
              </mc:AlternateContent>
            </w:r>
            <w:r w:rsidRPr="003516FE">
              <w:rPr>
                <w:bCs/>
                <w:i/>
                <w:iCs/>
                <w:sz w:val="26"/>
                <w:szCs w:val="26"/>
              </w:rPr>
              <w:t xml:space="preserve">Hà Nội, ngày </w:t>
            </w:r>
            <w:r w:rsidR="0050041A" w:rsidRPr="003516FE">
              <w:rPr>
                <w:bCs/>
                <w:i/>
                <w:iCs/>
                <w:sz w:val="26"/>
                <w:szCs w:val="26"/>
              </w:rPr>
              <w:t xml:space="preserve">    </w:t>
            </w:r>
            <w:r w:rsidRPr="003516FE">
              <w:rPr>
                <w:bCs/>
                <w:i/>
                <w:iCs/>
                <w:sz w:val="26"/>
                <w:szCs w:val="26"/>
              </w:rPr>
              <w:t xml:space="preserve"> tháng</w:t>
            </w:r>
            <w:r w:rsidR="0050041A" w:rsidRPr="003516FE">
              <w:rPr>
                <w:bCs/>
                <w:i/>
                <w:iCs/>
                <w:sz w:val="26"/>
                <w:szCs w:val="26"/>
              </w:rPr>
              <w:t xml:space="preserve"> </w:t>
            </w:r>
            <w:r w:rsidR="00A510B8">
              <w:rPr>
                <w:bCs/>
                <w:i/>
                <w:iCs/>
                <w:sz w:val="26"/>
                <w:szCs w:val="26"/>
              </w:rPr>
              <w:t xml:space="preserve">    </w:t>
            </w:r>
            <w:r w:rsidRPr="003516FE">
              <w:rPr>
                <w:bCs/>
                <w:i/>
                <w:iCs/>
                <w:sz w:val="26"/>
                <w:szCs w:val="26"/>
              </w:rPr>
              <w:t xml:space="preserve"> năm 202</w:t>
            </w:r>
            <w:r w:rsidR="00FB6A29">
              <w:rPr>
                <w:bCs/>
                <w:i/>
                <w:iCs/>
                <w:sz w:val="26"/>
                <w:szCs w:val="26"/>
              </w:rPr>
              <w:t>6</w:t>
            </w:r>
          </w:p>
        </w:tc>
      </w:tr>
    </w:tbl>
    <w:p w14:paraId="59F4B69D" w14:textId="0B7FA1A7" w:rsidR="00412054" w:rsidRPr="003516FE" w:rsidRDefault="00A93337" w:rsidP="00E75F8D">
      <w:pPr>
        <w:spacing w:before="480"/>
        <w:jc w:val="center"/>
        <w:rPr>
          <w:b/>
          <w:sz w:val="28"/>
          <w:szCs w:val="28"/>
        </w:rPr>
      </w:pPr>
      <w:r w:rsidRPr="003516FE">
        <w:rPr>
          <w:b/>
          <w:sz w:val="28"/>
          <w:szCs w:val="28"/>
        </w:rPr>
        <w:t>BÁO CÁO</w:t>
      </w:r>
    </w:p>
    <w:p w14:paraId="43FDA977" w14:textId="5C96353E" w:rsidR="00846210" w:rsidRPr="003516FE" w:rsidRDefault="000571EA" w:rsidP="00417CAF">
      <w:pPr>
        <w:spacing w:before="360" w:after="240"/>
        <w:jc w:val="center"/>
        <w:rPr>
          <w:b/>
          <w:bCs/>
          <w:sz w:val="28"/>
          <w:szCs w:val="28"/>
          <w:shd w:val="clear" w:color="auto" w:fill="FFFFFF"/>
        </w:rPr>
      </w:pPr>
      <w:r w:rsidRPr="003516FE">
        <w:rPr>
          <w:noProof/>
          <w:sz w:val="28"/>
          <w:szCs w:val="28"/>
          <w:lang w:val="en-US"/>
        </w:rPr>
        <mc:AlternateContent>
          <mc:Choice Requires="wps">
            <w:drawing>
              <wp:anchor distT="0" distB="0" distL="114300" distR="114300" simplePos="0" relativeHeight="251664384" behindDoc="0" locked="0" layoutInCell="1" allowOverlap="1" wp14:anchorId="225798C1" wp14:editId="6B347A2B">
                <wp:simplePos x="0" y="0"/>
                <wp:positionH relativeFrom="column">
                  <wp:posOffset>2197744</wp:posOffset>
                </wp:positionH>
                <wp:positionV relativeFrom="paragraph">
                  <wp:posOffset>1080192</wp:posOffset>
                </wp:positionV>
                <wp:extent cx="13620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362075" cy="0"/>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3A8B414" id="Straight Connector 1"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05pt,85.05pt" to="280.3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" strokecolor="black [3213]">
                <v:stroke joinstyle="miter"/>
              </v:line>
            </w:pict>
          </mc:Fallback>
        </mc:AlternateContent>
      </w:r>
      <w:r w:rsidR="00846210" w:rsidRPr="003516FE">
        <w:rPr>
          <w:b/>
          <w:bCs/>
          <w:sz w:val="28"/>
          <w:szCs w:val="28"/>
          <w:shd w:val="clear" w:color="auto" w:fill="FFFFFF"/>
        </w:rPr>
        <w:t>Tổng kết việc thi hành Nghị định số 26/2026/NĐ-CP ngày 17 tháng 01 năm 2026 của Chính phủ quy định chi tiết và hướng dẫn thi hành một số điều của Luật Hóa chất về quản lý hoạt động hóa chất và hóa chất nguy hiểm trong sản phẩm, hàng hóa</w:t>
      </w:r>
    </w:p>
    <w:p w14:paraId="37819D02" w14:textId="0C3807F7" w:rsidR="00B930BB" w:rsidRPr="003516FE" w:rsidRDefault="00C917D0" w:rsidP="00417CAF">
      <w:pPr>
        <w:spacing w:before="360" w:after="240"/>
        <w:jc w:val="center"/>
        <w:rPr>
          <w:sz w:val="28"/>
          <w:szCs w:val="28"/>
        </w:rPr>
      </w:pPr>
      <w:r w:rsidRPr="003516FE">
        <w:rPr>
          <w:sz w:val="28"/>
          <w:szCs w:val="28"/>
        </w:rPr>
        <w:t>Kính gửi: Chính phủ</w:t>
      </w:r>
    </w:p>
    <w:p w14:paraId="140EA459" w14:textId="225A5F79" w:rsidR="00412054" w:rsidRPr="003516FE" w:rsidRDefault="002668A0" w:rsidP="002668A0">
      <w:pPr>
        <w:pBdr>
          <w:top w:val="nil"/>
          <w:left w:val="nil"/>
          <w:bottom w:val="nil"/>
          <w:right w:val="nil"/>
          <w:between w:val="nil"/>
        </w:pBdr>
        <w:tabs>
          <w:tab w:val="left" w:pos="993"/>
        </w:tabs>
        <w:spacing w:before="120" w:line="22" w:lineRule="atLeast"/>
        <w:ind w:firstLine="720"/>
        <w:jc w:val="both"/>
        <w:rPr>
          <w:rFonts w:eastAsia="Calibri"/>
          <w:sz w:val="28"/>
          <w:szCs w:val="28"/>
          <w:lang w:val="en-US"/>
        </w:rPr>
      </w:pPr>
      <w:r w:rsidRPr="003516FE">
        <w:rPr>
          <w:rFonts w:eastAsia="Calibri"/>
          <w:sz w:val="28"/>
          <w:szCs w:val="28"/>
          <w:lang w:val="en-US"/>
        </w:rPr>
        <w:t>Thực hiện quy định của Luật Ban hành văn bản quy phạm pháp luật và nhiệm vụ được giao tại Nghị quyết số 19/2026/NQ-CP ngày 29/4/2026 của Chính phủ về cắt giảm, phân cấp, đơn giản hóa thủ tục hành chính, điều kiện kinh doanh thuộc phạm vi quản lý của Bộ Công Thương; căn cứ thực tiễn thi hành pháp luật về hóa chất, Bộ Công Thương đã chủ trì, phối hợp với các cơ quan liên quan tiến hành tổng kết việc thi hành Nghị định số 26/2026/NĐ-CP. Kết quả cụ thể như sau</w:t>
      </w:r>
      <w:r w:rsidR="00A93337" w:rsidRPr="003516FE">
        <w:rPr>
          <w:rFonts w:eastAsia="Calibri"/>
          <w:sz w:val="28"/>
          <w:szCs w:val="28"/>
          <w:lang w:val="en-US"/>
        </w:rPr>
        <w:t>:</w:t>
      </w:r>
    </w:p>
    <w:p w14:paraId="33C5C0AE" w14:textId="77777777" w:rsidR="00D128A3" w:rsidRPr="003516FE" w:rsidRDefault="003F611E" w:rsidP="00D54F16">
      <w:pPr>
        <w:spacing w:before="120" w:line="22" w:lineRule="atLeast"/>
        <w:ind w:firstLine="720"/>
        <w:rPr>
          <w:rFonts w:eastAsia="Calibri"/>
          <w:b/>
          <w:bCs/>
          <w:sz w:val="28"/>
          <w:szCs w:val="28"/>
        </w:rPr>
      </w:pPr>
      <w:r w:rsidRPr="003516FE">
        <w:rPr>
          <w:rFonts w:eastAsia="Calibri"/>
          <w:b/>
          <w:bCs/>
          <w:sz w:val="28"/>
          <w:szCs w:val="28"/>
        </w:rPr>
        <w:t>I. BỐI CẢNH THỰC HIỆN TỔNG KẾT</w:t>
      </w:r>
    </w:p>
    <w:p w14:paraId="716D2C5C" w14:textId="77777777" w:rsidR="00B20938" w:rsidRPr="003516FE" w:rsidRDefault="00B20938" w:rsidP="00B20938">
      <w:pPr>
        <w:spacing w:before="120" w:line="22" w:lineRule="atLeast"/>
        <w:ind w:firstLine="720"/>
        <w:jc w:val="both"/>
        <w:rPr>
          <w:sz w:val="28"/>
          <w:szCs w:val="28"/>
        </w:rPr>
      </w:pPr>
      <w:r w:rsidRPr="003516FE">
        <w:rPr>
          <w:sz w:val="28"/>
          <w:szCs w:val="28"/>
        </w:rPr>
        <w:t>a) Bối cảnh trong nước:</w:t>
      </w:r>
    </w:p>
    <w:p w14:paraId="044BB73E" w14:textId="06744865" w:rsidR="00B20938" w:rsidRPr="003516FE" w:rsidRDefault="00B20938" w:rsidP="00B20938">
      <w:pPr>
        <w:spacing w:before="120" w:line="22" w:lineRule="atLeast"/>
        <w:ind w:firstLine="720"/>
        <w:jc w:val="both"/>
        <w:rPr>
          <w:sz w:val="28"/>
          <w:szCs w:val="28"/>
        </w:rPr>
      </w:pPr>
      <w:r w:rsidRPr="003516FE">
        <w:rPr>
          <w:sz w:val="28"/>
          <w:szCs w:val="28"/>
        </w:rPr>
        <w:t xml:space="preserve">Hoàn thiện hệ thống pháp luật về hóa chất: Sau khi Quốc hội khóa XV thông qua Luật Hóa chất số 69/2025/QH15 ngày 14 tháng 6 năm 2025, hệ thống quản lý hóa chất tại Việt Nam đã bước sang một giai đoạn mới với những nguyên tắc quản lý rủi ro và </w:t>
      </w:r>
      <w:r w:rsidR="006B6A94">
        <w:rPr>
          <w:sz w:val="28"/>
          <w:szCs w:val="28"/>
        </w:rPr>
        <w:t>an toàn an ninh nghiêm ngặt hơn</w:t>
      </w:r>
      <w:r w:rsidRPr="003516FE">
        <w:rPr>
          <w:sz w:val="28"/>
          <w:szCs w:val="28"/>
        </w:rPr>
        <w:t>. Nghị định số 26/2026/NĐ-CP được ban hành nhằm cụ thể hóa Luật này, thiết lập hành lang pháp lý cho việc quản lý hoạt động hóa chất và hóa chất nguy hiểm trong sản phẩm, hàng hóa.</w:t>
      </w:r>
    </w:p>
    <w:p w14:paraId="67C175B3" w14:textId="38968739" w:rsidR="00B20938" w:rsidRPr="003516FE" w:rsidRDefault="00B20938" w:rsidP="00B20938">
      <w:pPr>
        <w:spacing w:before="120" w:line="22" w:lineRule="atLeast"/>
        <w:ind w:firstLine="720"/>
        <w:jc w:val="both"/>
        <w:rPr>
          <w:sz w:val="28"/>
          <w:szCs w:val="28"/>
        </w:rPr>
      </w:pPr>
      <w:r w:rsidRPr="003516FE">
        <w:rPr>
          <w:sz w:val="28"/>
          <w:szCs w:val="28"/>
        </w:rPr>
        <w:t>Chủ trương cải cách hành chính và phân cấp thẩm quyền: Chính phủ đã ban hành Nghị quyết số 19/2026/NQ-CP ngày 29 tháng 4 năm 2026, phê duyệt phương án cắt giảm, đơn giản hóa và phân cấp thẩm quyền giải quyết thủ tục hành chính thuộc phạm vi quản lý của Bộ Công Thương. Nghị quyết này đặt ra yêu cầu cấp bách phải rà soát để chuyển giao các thẩm quyền cấp phép từ cấp Bộ về cho Ủy ban nhân dân cấp tỉnh nhằm nâng cao tính chủ độn</w:t>
      </w:r>
      <w:r w:rsidR="006B6A94">
        <w:rPr>
          <w:sz w:val="28"/>
          <w:szCs w:val="28"/>
        </w:rPr>
        <w:t>g và trách nhiệm của địa phương</w:t>
      </w:r>
      <w:r w:rsidRPr="003516FE">
        <w:rPr>
          <w:sz w:val="28"/>
          <w:szCs w:val="28"/>
        </w:rPr>
        <w:t>.</w:t>
      </w:r>
    </w:p>
    <w:p w14:paraId="03CD4C5E" w14:textId="6DE21C51" w:rsidR="00B20938" w:rsidRPr="003516FE" w:rsidRDefault="00B20938" w:rsidP="00B20938">
      <w:pPr>
        <w:spacing w:before="120" w:line="22" w:lineRule="atLeast"/>
        <w:ind w:firstLine="720"/>
        <w:jc w:val="both"/>
        <w:rPr>
          <w:sz w:val="28"/>
          <w:szCs w:val="28"/>
        </w:rPr>
      </w:pPr>
      <w:r w:rsidRPr="003516FE">
        <w:rPr>
          <w:sz w:val="28"/>
          <w:szCs w:val="28"/>
        </w:rPr>
        <w:t>Thúc đẩy chuyển đổi số quốc gia: Trong bối cảnh cuộc Cách mạng công nghiệp lần thứ tư, việc xây dựng Chính phủ số và kinh tế số là tất yếu. Công tác quản lý hóa chất cần được hiện đại hóa thông qua việc vận hành và khai thác hiệu quả Cơ sở dữ liệu hóa chất quốc gia, chuyển đổi từ phương thức quản lý bằng hồ sơ giấy sang dữ liệu số liên th</w:t>
      </w:r>
      <w:r w:rsidR="006B6A94">
        <w:rPr>
          <w:sz w:val="28"/>
          <w:szCs w:val="28"/>
        </w:rPr>
        <w:t>ông và phiếu kiểm soát điện tử</w:t>
      </w:r>
      <w:r w:rsidRPr="003516FE">
        <w:rPr>
          <w:sz w:val="28"/>
          <w:szCs w:val="28"/>
        </w:rPr>
        <w:t>.</w:t>
      </w:r>
    </w:p>
    <w:p w14:paraId="75F75AAF" w14:textId="77777777" w:rsidR="00B20938" w:rsidRPr="003516FE" w:rsidRDefault="00B20938" w:rsidP="00B20938">
      <w:pPr>
        <w:spacing w:before="120" w:line="22" w:lineRule="atLeast"/>
        <w:ind w:firstLine="720"/>
        <w:jc w:val="both"/>
        <w:rPr>
          <w:sz w:val="28"/>
          <w:szCs w:val="28"/>
        </w:rPr>
      </w:pPr>
      <w:r w:rsidRPr="003516FE">
        <w:rPr>
          <w:sz w:val="28"/>
          <w:szCs w:val="28"/>
        </w:rPr>
        <w:t>b) Bối cảnh quốc tế:</w:t>
      </w:r>
    </w:p>
    <w:p w14:paraId="2D5ECFAE" w14:textId="461D1723" w:rsidR="00B20938" w:rsidRPr="003516FE" w:rsidRDefault="00B20938" w:rsidP="00B20938">
      <w:pPr>
        <w:spacing w:before="120" w:line="22" w:lineRule="atLeast"/>
        <w:ind w:firstLine="720"/>
        <w:jc w:val="both"/>
        <w:rPr>
          <w:sz w:val="28"/>
          <w:szCs w:val="28"/>
        </w:rPr>
      </w:pPr>
      <w:r w:rsidRPr="003516FE">
        <w:rPr>
          <w:sz w:val="28"/>
          <w:szCs w:val="28"/>
        </w:rPr>
        <w:lastRenderedPageBreak/>
        <w:t>Hội nhập kinh tế sâu rộng: Việt Nam đang thực thi nhiều Hiệp định thương mại tự do (FTA) thế hệ mới như EVFTA, CPTPP, yêu cầu việc quản lý kỹ thuật đối với hóa chất phải minh bạch, dựa trên đánh giá rủi ro và không tạo ra rào cản kỹ thuật không cần thiết đối với hoạ</w:t>
      </w:r>
      <w:r w:rsidR="006B6A94">
        <w:rPr>
          <w:sz w:val="28"/>
          <w:szCs w:val="28"/>
        </w:rPr>
        <w:t>t động thương mại quốc tế (TBT)</w:t>
      </w:r>
      <w:r w:rsidRPr="003516FE">
        <w:rPr>
          <w:sz w:val="28"/>
          <w:szCs w:val="28"/>
        </w:rPr>
        <w:t>.</w:t>
      </w:r>
    </w:p>
    <w:p w14:paraId="29521377" w14:textId="6D351E9C" w:rsidR="00B20938" w:rsidRPr="003516FE" w:rsidRDefault="00B20938" w:rsidP="00B20938">
      <w:pPr>
        <w:spacing w:before="120" w:line="22" w:lineRule="atLeast"/>
        <w:ind w:firstLine="720"/>
        <w:jc w:val="both"/>
        <w:rPr>
          <w:sz w:val="28"/>
          <w:szCs w:val="28"/>
        </w:rPr>
      </w:pPr>
      <w:r w:rsidRPr="003516FE">
        <w:rPr>
          <w:sz w:val="28"/>
          <w:szCs w:val="28"/>
        </w:rPr>
        <w:t>Tuân thủ các cam kết quốc tế về an toàn, an ninh: Với vai trò là thành viên tích cực của các tổ chức quốc tế, Việt Nam có nghĩa vụ thực hiện nghiêm túc các Công ước: Cấm vũ khí hóa học (CWC), Minamata về thủy ngân,</w:t>
      </w:r>
      <w:r w:rsidR="00AC7E68">
        <w:rPr>
          <w:sz w:val="28"/>
          <w:szCs w:val="28"/>
        </w:rPr>
        <w:t xml:space="preserve"> Rotterdam, Stockholm và Basel</w:t>
      </w:r>
      <w:r w:rsidRPr="003516FE">
        <w:rPr>
          <w:sz w:val="28"/>
          <w:szCs w:val="28"/>
        </w:rPr>
        <w:t>. Bối cảnh quốc tế đòi hỏi các quy định về hóa chất cần kiểm soát đặc biệt và hóa chất cấm của Việt Nam phải tương thông với các danh mục v</w:t>
      </w:r>
      <w:r w:rsidR="006B6A94">
        <w:rPr>
          <w:sz w:val="28"/>
          <w:szCs w:val="28"/>
        </w:rPr>
        <w:t>à ngưỡng kiểm soát của thế giới</w:t>
      </w:r>
      <w:r w:rsidRPr="003516FE">
        <w:rPr>
          <w:sz w:val="28"/>
          <w:szCs w:val="28"/>
        </w:rPr>
        <w:t>.</w:t>
      </w:r>
    </w:p>
    <w:p w14:paraId="4CC17A1F" w14:textId="6F5F27D9" w:rsidR="00B20938" w:rsidRPr="003516FE" w:rsidRDefault="00B20938" w:rsidP="00B20938">
      <w:pPr>
        <w:spacing w:before="120" w:line="22" w:lineRule="atLeast"/>
        <w:ind w:firstLine="720"/>
        <w:jc w:val="both"/>
        <w:rPr>
          <w:sz w:val="28"/>
          <w:szCs w:val="28"/>
        </w:rPr>
      </w:pPr>
      <w:r w:rsidRPr="003516FE">
        <w:rPr>
          <w:sz w:val="28"/>
          <w:szCs w:val="28"/>
        </w:rPr>
        <w:t>Xu hướng quản lý hóa chất hiện đại: Các khu vực có nền công nghiệp hóa chất phát triển như Liên minh châu Âu (EU) và Hoa Kỳ đang áp dụng mạnh mẽ cơ chế quản lý hóa chất dựa trên phân loại rủi ro và giám sát chặt chẽ chuỗi cung ứng,. Việc rà soát tổng kết Nghị định 26 là cần thiết để tiếp cận các thông lệ tốt nhất này, đảm bảo an toàn cho sức khỏe con người và môi trường bền vững</w:t>
      </w:r>
      <w:r w:rsidR="006B6A94">
        <w:rPr>
          <w:sz w:val="28"/>
          <w:szCs w:val="28"/>
        </w:rPr>
        <w:t>.</w:t>
      </w:r>
    </w:p>
    <w:p w14:paraId="2D7FCBD6" w14:textId="2DCC0F4E" w:rsidR="0001237D" w:rsidRPr="0001237D" w:rsidRDefault="0001237D" w:rsidP="0001237D">
      <w:pPr>
        <w:spacing w:before="120" w:after="120" w:line="22" w:lineRule="atLeast"/>
        <w:ind w:firstLine="720"/>
        <w:jc w:val="both"/>
        <w:rPr>
          <w:b/>
          <w:sz w:val="28"/>
          <w:szCs w:val="28"/>
        </w:rPr>
      </w:pPr>
      <w:r w:rsidRPr="0001237D">
        <w:rPr>
          <w:b/>
          <w:sz w:val="28"/>
          <w:szCs w:val="28"/>
        </w:rPr>
        <w:t>I</w:t>
      </w:r>
      <w:r w:rsidR="00AC7E68">
        <w:rPr>
          <w:b/>
          <w:sz w:val="28"/>
          <w:szCs w:val="28"/>
        </w:rPr>
        <w:t>I</w:t>
      </w:r>
      <w:r w:rsidRPr="0001237D">
        <w:rPr>
          <w:b/>
          <w:sz w:val="28"/>
          <w:szCs w:val="28"/>
        </w:rPr>
        <w:t>. ĐÁNH GIÁ CHUNG TÌNH HÌNH TRIỂN KHAI THỰC HIỆN NGHỊ ĐỊNH 26/2026/NĐ-CP</w:t>
      </w:r>
    </w:p>
    <w:p w14:paraId="7650695C" w14:textId="77777777" w:rsidR="008B744C" w:rsidRPr="008B744C" w:rsidRDefault="008B744C" w:rsidP="008B744C">
      <w:pPr>
        <w:spacing w:before="120" w:after="120" w:line="22" w:lineRule="atLeast"/>
        <w:ind w:firstLine="720"/>
        <w:jc w:val="both"/>
        <w:rPr>
          <w:sz w:val="28"/>
          <w:szCs w:val="28"/>
        </w:rPr>
      </w:pPr>
      <w:r w:rsidRPr="008B744C">
        <w:rPr>
          <w:sz w:val="28"/>
          <w:szCs w:val="28"/>
        </w:rPr>
        <w:t>Việc triển khai thi hành Nghị định số 26/2026/NĐ-CP diễn ra trong bối cảnh Luật Hóa chất số 69/2025/QH15 vừa có hiệu lực, cùng với yêu cầu cấp bách về hội nhập quốc tế (thực thi các Công ước CWC, Minamata, Rotterdam...) và chủ trương đẩy mạnh phân cấp, phân quyền, chuyển đổi số của Chính phủ. Qua báo cáo của các Bộ, ngành, địa phương và Tập đoàn Hóa chất Việt Nam, công tác triển khai được đánh giá là kịp thời, đồng bộ, quyết liệt và có nhiều đổi mới mang tính đột phá.</w:t>
      </w:r>
    </w:p>
    <w:p w14:paraId="39D5B2B4" w14:textId="01C72918" w:rsidR="00A510B8" w:rsidRPr="00A510B8" w:rsidRDefault="008B744C" w:rsidP="00A510B8">
      <w:pPr>
        <w:pStyle w:val="ListParagraph"/>
        <w:numPr>
          <w:ilvl w:val="0"/>
          <w:numId w:val="3"/>
        </w:numPr>
        <w:tabs>
          <w:tab w:val="left" w:pos="851"/>
        </w:tabs>
        <w:spacing w:before="120" w:after="120" w:line="22" w:lineRule="atLeast"/>
        <w:ind w:left="0" w:firstLine="567"/>
        <w:jc w:val="both"/>
        <w:rPr>
          <w:sz w:val="28"/>
          <w:szCs w:val="28"/>
        </w:rPr>
      </w:pPr>
      <w:r w:rsidRPr="00A510B8">
        <w:rPr>
          <w:sz w:val="28"/>
          <w:szCs w:val="28"/>
        </w:rPr>
        <w:t xml:space="preserve">Công tác lãnh đạo, chỉ đạo và ban hành văn bản quy phạm pháp luật được thực hiện thần tốc, đồng bộ từ Trung ương đến địa phương </w:t>
      </w:r>
    </w:p>
    <w:p w14:paraId="05E6E7F6" w14:textId="563576DC" w:rsidR="008B744C" w:rsidRPr="00A510B8" w:rsidRDefault="008B744C" w:rsidP="00A510B8">
      <w:pPr>
        <w:spacing w:before="120" w:after="120" w:line="22" w:lineRule="atLeast"/>
        <w:ind w:firstLine="567"/>
        <w:jc w:val="both"/>
        <w:rPr>
          <w:sz w:val="28"/>
          <w:szCs w:val="28"/>
        </w:rPr>
      </w:pPr>
      <w:r w:rsidRPr="00A510B8">
        <w:rPr>
          <w:sz w:val="28"/>
          <w:szCs w:val="28"/>
        </w:rPr>
        <w:t>Ngay khi Nghị định được ban hành, sự vào cuộc của các cấp quản lý được thể hiện rất rõ nét, tạo lập hành lang pháp lý thông suốt:</w:t>
      </w:r>
    </w:p>
    <w:p w14:paraId="065D78DA" w14:textId="2FB6AFFA" w:rsidR="008B744C" w:rsidRPr="008B744C" w:rsidRDefault="008B744C" w:rsidP="008B744C">
      <w:pPr>
        <w:spacing w:before="120" w:after="120" w:line="22" w:lineRule="atLeast"/>
        <w:ind w:firstLine="720"/>
        <w:jc w:val="both"/>
        <w:rPr>
          <w:sz w:val="28"/>
          <w:szCs w:val="28"/>
        </w:rPr>
      </w:pPr>
      <w:r w:rsidRPr="008B744C">
        <w:rPr>
          <w:sz w:val="28"/>
          <w:szCs w:val="28"/>
        </w:rPr>
        <w:t>Tại cấp Trung ương: Bộ Công Thương đã khẩn trương ban hành Thông tư 01/2026/TT-BCT và Thông tư 02/2026/TT-BCT để quy định chi tiết biểu mẫu, phương thức kiểm soát. Các Bộ chuyên ngành cũng chủ động ban hành văn bản thuộc phạm vi quản lý, điển hình như Bộ Văn hóa, Thể thao và Du lịch ban hành Thông tư số 14/2026/TT-BVHTTDL quy định danh mục hóa chất không được sử dụng và hóa chất nguy hiểm cần công bố thông tin t</w:t>
      </w:r>
      <w:r w:rsidR="00A510B8">
        <w:rPr>
          <w:sz w:val="28"/>
          <w:szCs w:val="28"/>
        </w:rPr>
        <w:t xml:space="preserve">rong lĩnh vực văn hóa, thể thao. </w:t>
      </w:r>
      <w:r w:rsidR="00A510B8" w:rsidRPr="00A510B8">
        <w:rPr>
          <w:sz w:val="28"/>
          <w:szCs w:val="28"/>
        </w:rPr>
        <w:t> Bộ Quốc phòng đã chủ động ban hành Thông tư số 13/2026/TT-BQP ngày 12/02/2026 quy định chi tiết thi hành Luật Hóa chất trong phạm vi quản lý quân sự</w:t>
      </w:r>
      <w:r w:rsidR="00A510B8" w:rsidRPr="00A510B8">
        <w:rPr>
          <w:sz w:val="28"/>
          <w:szCs w:val="28"/>
        </w:rPr>
        <w:t xml:space="preserve">, </w:t>
      </w:r>
      <w:r w:rsidR="00A510B8" w:rsidRPr="00A510B8">
        <w:rPr>
          <w:sz w:val="28"/>
          <w:szCs w:val="28"/>
        </w:rPr>
        <w:t>Bộ Nông nghiệp và Môi trường cũng đã chỉ đạo rà soát toàn diện danh mục hóa chất chuyên dụng trong phòng thí nghiệm, đối chiếu mã CAS và nồng độ hỗn hợp để đảm bảo tính tuân thủ</w:t>
      </w:r>
      <w:r w:rsidR="00A510B8">
        <w:rPr>
          <w:rFonts w:ascii="Google Sans Text" w:hAnsi="Google Sans Text"/>
          <w:b/>
          <w:bCs/>
          <w:color w:val="303030"/>
          <w:shd w:val="clear" w:color="auto" w:fill="FFFFFF"/>
        </w:rPr>
        <w:t> </w:t>
      </w:r>
    </w:p>
    <w:p w14:paraId="4AF1E450" w14:textId="77777777" w:rsidR="008B744C" w:rsidRPr="008B744C" w:rsidRDefault="008B744C" w:rsidP="008B744C">
      <w:pPr>
        <w:spacing w:before="120" w:after="120" w:line="22" w:lineRule="atLeast"/>
        <w:ind w:firstLine="720"/>
        <w:jc w:val="both"/>
        <w:rPr>
          <w:sz w:val="28"/>
          <w:szCs w:val="28"/>
        </w:rPr>
      </w:pPr>
      <w:r w:rsidRPr="008B744C">
        <w:rPr>
          <w:sz w:val="28"/>
          <w:szCs w:val="28"/>
        </w:rPr>
        <w:t xml:space="preserve">Tại cấp địa phương: Hầu hết UBND các tỉnh, thành phố (như Quảng Ninh, Phú Thọ, Đà Nẵng, Gia Lai, Hà Tĩnh, Lai Châu, Lâm Đồng, Đồng Tháp...) đã ban </w:t>
      </w:r>
      <w:r w:rsidRPr="008B744C">
        <w:rPr>
          <w:sz w:val="28"/>
          <w:szCs w:val="28"/>
        </w:rPr>
        <w:lastRenderedPageBreak/>
        <w:t>hành Kế hoạch, Chỉ thị triển khai thi hành. Đặc biệt, các địa phương đã nhanh chóng ban hành các Quyết định công bố Danh mục thủ tục hành chính (TTHC) mới, bãi bỏ TTHC cũ và ban hành Quy trình nội bộ giải quyết TTHC, giúp việc tiếp nhận hồ sơ không bị gián đoạn.</w:t>
      </w:r>
    </w:p>
    <w:p w14:paraId="602441E0" w14:textId="22920640" w:rsidR="00A510B8" w:rsidRPr="00A510B8" w:rsidRDefault="008B744C" w:rsidP="00A510B8">
      <w:pPr>
        <w:pStyle w:val="ListParagraph"/>
        <w:numPr>
          <w:ilvl w:val="0"/>
          <w:numId w:val="3"/>
        </w:numPr>
        <w:tabs>
          <w:tab w:val="left" w:pos="851"/>
        </w:tabs>
        <w:spacing w:before="120" w:after="120" w:line="22" w:lineRule="atLeast"/>
        <w:ind w:left="0" w:firstLine="567"/>
        <w:jc w:val="both"/>
        <w:rPr>
          <w:sz w:val="28"/>
          <w:szCs w:val="28"/>
        </w:rPr>
      </w:pPr>
      <w:r w:rsidRPr="00A510B8">
        <w:rPr>
          <w:sz w:val="28"/>
          <w:szCs w:val="28"/>
        </w:rPr>
        <w:t xml:space="preserve">Công tác tuyên truyền, phổ biến pháp luật mang tính thực tiễn cao, đa dạng hóa hình thức tiếp cận </w:t>
      </w:r>
    </w:p>
    <w:p w14:paraId="3CD0B5D7" w14:textId="6A0024D6" w:rsidR="008B744C" w:rsidRPr="00A510B8" w:rsidRDefault="008B744C" w:rsidP="00A510B8">
      <w:pPr>
        <w:spacing w:before="120" w:after="120" w:line="22" w:lineRule="atLeast"/>
        <w:ind w:firstLine="567"/>
        <w:jc w:val="both"/>
        <w:rPr>
          <w:sz w:val="28"/>
          <w:szCs w:val="28"/>
        </w:rPr>
      </w:pPr>
      <w:r w:rsidRPr="00A510B8">
        <w:rPr>
          <w:sz w:val="28"/>
          <w:szCs w:val="28"/>
        </w:rPr>
        <w:t>Việc phổ biến không chỉ dừng ở văn bản hành chính mà đã đi sâu vào thực tiễn doanh nghiệp:</w:t>
      </w:r>
    </w:p>
    <w:p w14:paraId="2DDCDEB6" w14:textId="5708EAD9" w:rsidR="008B744C" w:rsidRPr="008B744C" w:rsidRDefault="008B744C" w:rsidP="008B744C">
      <w:pPr>
        <w:spacing w:before="120" w:after="120" w:line="22" w:lineRule="atLeast"/>
        <w:ind w:firstLine="720"/>
        <w:jc w:val="both"/>
        <w:rPr>
          <w:sz w:val="28"/>
          <w:szCs w:val="28"/>
        </w:rPr>
      </w:pPr>
      <w:r w:rsidRPr="008B744C">
        <w:rPr>
          <w:sz w:val="28"/>
          <w:szCs w:val="28"/>
        </w:rPr>
        <w:t xml:space="preserve">Quy mô và đối tượng tiếp cận lớn: Nhiều địa phương tổ chức các hội nghị quy mô lớn. Điển hình, Phú Thọ tổ chức 03 hội nghị với gần 700 đại biểu; Gia Lai tập huấn cho 200 đại biểu; Hà Tĩnh tập huấn cho hơn 120 đại biểu với sự tham gia hướng dẫn trực </w:t>
      </w:r>
      <w:r w:rsidR="00A510B8">
        <w:rPr>
          <w:sz w:val="28"/>
          <w:szCs w:val="28"/>
        </w:rPr>
        <w:t>tiếp từ chuyên gia Cục Hóa chất.</w:t>
      </w:r>
    </w:p>
    <w:p w14:paraId="0D58AB49" w14:textId="5286B6EE" w:rsidR="008B744C" w:rsidRPr="008B744C" w:rsidRDefault="008B744C" w:rsidP="008B744C">
      <w:pPr>
        <w:spacing w:before="120" w:after="120" w:line="22" w:lineRule="atLeast"/>
        <w:ind w:firstLine="720"/>
        <w:jc w:val="both"/>
        <w:rPr>
          <w:sz w:val="28"/>
          <w:szCs w:val="28"/>
        </w:rPr>
      </w:pPr>
      <w:r w:rsidRPr="008B744C">
        <w:rPr>
          <w:sz w:val="28"/>
          <w:szCs w:val="28"/>
        </w:rPr>
        <w:t>Sáng tạo trong phương thức truyền thông: Tập đoàn Hóa chất Việt Nam (HCVN) đã áp dụng mã QR tại các kho bãi để người lao động dễ dàng tra cứu Phiếu an toàn hóa chất (SDS/MSDS) bằng điện thoại thông minh. Sở Công Thương Ninh Bình và Hà Tĩnh sử dụng linh hoạt các nhóm Zalo cộng đồng doanh nghiệp để hướng dẫn, trao đổi thông tin thường xuyên.</w:t>
      </w:r>
      <w:r w:rsidR="00A510B8">
        <w:rPr>
          <w:sz w:val="28"/>
          <w:szCs w:val="28"/>
        </w:rPr>
        <w:t xml:space="preserve"> </w:t>
      </w:r>
      <w:r w:rsidR="00A510B8" w:rsidRPr="00A510B8">
        <w:rPr>
          <w:sz w:val="28"/>
          <w:szCs w:val="28"/>
        </w:rPr>
        <w:t>Hình thức tập huấn đã được cá nhân hóa cho các cơ sở sản xuất nhỏ lẻ, hộ kinh doanh trực tiếp tại phường Rạch Giá và phường Long Xuyên; đồng thời lồng ghép tuyên truyền sâu rộng trong môi trường quân đội (An Giang, Bộ QP)</w:t>
      </w:r>
    </w:p>
    <w:p w14:paraId="1DAFC7B8" w14:textId="77777777" w:rsidR="008B744C" w:rsidRPr="008B744C" w:rsidRDefault="008B744C" w:rsidP="008B744C">
      <w:pPr>
        <w:spacing w:before="120" w:after="120" w:line="22" w:lineRule="atLeast"/>
        <w:ind w:firstLine="720"/>
        <w:jc w:val="both"/>
        <w:rPr>
          <w:sz w:val="28"/>
          <w:szCs w:val="28"/>
        </w:rPr>
      </w:pPr>
      <w:r w:rsidRPr="008B744C">
        <w:rPr>
          <w:sz w:val="28"/>
          <w:szCs w:val="28"/>
        </w:rPr>
        <w:t>Lồng ghép hiệu quả với các lĩnh vực khác: Ngành Nông nghiệp (Nghệ An) đã lồng ghép tuyên truyền an toàn hóa chất vào các chương trình tập huấn VietGAP, quản lý chất lượng nông sản. Ngành Nội vụ lồng ghép vào quy trình bảo quản, tu bổ, khử axit tài liệu lưu trữ quốc gia.</w:t>
      </w:r>
    </w:p>
    <w:p w14:paraId="6CF3A078" w14:textId="52996696" w:rsidR="00A510B8" w:rsidRPr="00A510B8" w:rsidRDefault="008B744C" w:rsidP="00A510B8">
      <w:pPr>
        <w:pStyle w:val="ListParagraph"/>
        <w:numPr>
          <w:ilvl w:val="0"/>
          <w:numId w:val="3"/>
        </w:numPr>
        <w:tabs>
          <w:tab w:val="left" w:pos="851"/>
        </w:tabs>
        <w:spacing w:before="120" w:after="120" w:line="22" w:lineRule="atLeast"/>
        <w:ind w:left="0" w:firstLine="567"/>
        <w:jc w:val="both"/>
        <w:rPr>
          <w:sz w:val="28"/>
          <w:szCs w:val="28"/>
        </w:rPr>
      </w:pPr>
      <w:r w:rsidRPr="00A510B8">
        <w:rPr>
          <w:sz w:val="28"/>
          <w:szCs w:val="28"/>
        </w:rPr>
        <w:t>Đổi mới tư duy quản lý</w:t>
      </w:r>
    </w:p>
    <w:p w14:paraId="7B8D9A28" w14:textId="02242A28" w:rsidR="008B744C" w:rsidRPr="00A510B8" w:rsidRDefault="008B744C" w:rsidP="00A510B8">
      <w:pPr>
        <w:spacing w:before="120" w:after="120" w:line="22" w:lineRule="atLeast"/>
        <w:ind w:firstLine="567"/>
        <w:jc w:val="both"/>
        <w:rPr>
          <w:sz w:val="28"/>
          <w:szCs w:val="28"/>
        </w:rPr>
      </w:pPr>
      <w:r w:rsidRPr="00A510B8">
        <w:rPr>
          <w:sz w:val="28"/>
          <w:szCs w:val="28"/>
        </w:rPr>
        <w:t>Phân cấp mạnh mẽ và chuyển từ "tiền kiểm" sang "hậu kiểm" dựa trên rủi ro Các báo cáo đều thống nhất đánh giá Nghị định 26/2026/NĐ-CP đã tạo ra bước ngoặt trong tư duy quản lý:</w:t>
      </w:r>
    </w:p>
    <w:p w14:paraId="025FF934" w14:textId="711CF572" w:rsidR="008B744C" w:rsidRPr="008B744C" w:rsidRDefault="008B744C" w:rsidP="008B744C">
      <w:pPr>
        <w:spacing w:before="120" w:after="120" w:line="22" w:lineRule="atLeast"/>
        <w:ind w:firstLine="720"/>
        <w:jc w:val="both"/>
        <w:rPr>
          <w:sz w:val="28"/>
          <w:szCs w:val="28"/>
        </w:rPr>
      </w:pPr>
      <w:r w:rsidRPr="008B744C">
        <w:rPr>
          <w:sz w:val="28"/>
          <w:szCs w:val="28"/>
        </w:rPr>
        <w:t>Triệt để phân cấp, phân quyền: Thực hiện Nghị quyết 19/2026/NQ-CP, việc chuyển giao thẩm quyền cấp phép (đặc biệt là hóa chất cần kiểm soát đặc biệt và dịch vụ tồn trữ) từ Bộ Công Thương về UBND cấp tỉnh và Sở Công Thương được các địa phương đánh giá rất cao. Quảng Ninh, Điện Biên, Đồng Tháp nhận định việc phân cấp giúp giảm đầu mối trung gian, rút ngắn đáng kể thời gian giải quyết hồ sơ, giảm chi phí đi lại cho doanh nghiệp và nâng cao tính chủ động của địa phương.</w:t>
      </w:r>
      <w:r w:rsidR="00A510B8">
        <w:rPr>
          <w:sz w:val="28"/>
          <w:szCs w:val="28"/>
        </w:rPr>
        <w:t xml:space="preserve"> </w:t>
      </w:r>
      <w:r w:rsidR="00A510B8" w:rsidRPr="00A510B8">
        <w:rPr>
          <w:sz w:val="28"/>
          <w:szCs w:val="28"/>
        </w:rPr>
        <w:t>Việc chuyển đổi sang mô hình quản lý gắn với chính quyền địa phương hai cấp đã giúp tăng tính chủ động cho cơ sở nhưng cũng đặt ra áp lực lớn về năng lực thẩm định cho cán bộ địa phương (An Giang).</w:t>
      </w:r>
    </w:p>
    <w:p w14:paraId="36E7FF5B" w14:textId="77777777" w:rsidR="008B744C" w:rsidRPr="008B744C" w:rsidRDefault="008B744C" w:rsidP="008B744C">
      <w:pPr>
        <w:spacing w:before="120" w:after="120" w:line="22" w:lineRule="atLeast"/>
        <w:ind w:firstLine="720"/>
        <w:jc w:val="both"/>
        <w:rPr>
          <w:sz w:val="28"/>
          <w:szCs w:val="28"/>
        </w:rPr>
      </w:pPr>
      <w:r w:rsidRPr="008B744C">
        <w:rPr>
          <w:sz w:val="28"/>
          <w:szCs w:val="28"/>
        </w:rPr>
        <w:t xml:space="preserve">Quản lý theo vòng đời và mức độ rủi ro: Bộ VHTTDL và Tập đoàn HCVN đánh giá cao việc chuyển từ quản lý thuần túy bằng điều kiện hành chính sang đánh giá rủi ro theo Hệ thống hài hòa toàn cầu (GHS). Cơ quan Hải quan cũng đã </w:t>
      </w:r>
      <w:r w:rsidRPr="008B744C">
        <w:rPr>
          <w:sz w:val="28"/>
          <w:szCs w:val="28"/>
        </w:rPr>
        <w:lastRenderedPageBreak/>
        <w:t>áp dụng quản lý rủi ro trên cơ sở đánh giá mức độ nguy hại, tạo tiền đề đẩy mạnh thông quan tự động.</w:t>
      </w:r>
    </w:p>
    <w:p w14:paraId="6A330F23" w14:textId="6945AC07" w:rsidR="00A510B8" w:rsidRPr="00A510B8" w:rsidRDefault="008B744C" w:rsidP="00A510B8">
      <w:pPr>
        <w:pStyle w:val="ListParagraph"/>
        <w:numPr>
          <w:ilvl w:val="0"/>
          <w:numId w:val="3"/>
        </w:numPr>
        <w:spacing w:before="120" w:after="120" w:line="22" w:lineRule="atLeast"/>
        <w:jc w:val="both"/>
        <w:rPr>
          <w:sz w:val="28"/>
          <w:szCs w:val="28"/>
        </w:rPr>
      </w:pPr>
      <w:r w:rsidRPr="00A510B8">
        <w:rPr>
          <w:sz w:val="28"/>
          <w:szCs w:val="28"/>
        </w:rPr>
        <w:t xml:space="preserve">Dấu ấn đậm nét trong Chuyển đổi số và ứng dụng Công nghệ thông tin </w:t>
      </w:r>
    </w:p>
    <w:p w14:paraId="7D3C1A21" w14:textId="43D8A52E" w:rsidR="008B744C" w:rsidRPr="00A510B8" w:rsidRDefault="008B744C" w:rsidP="00A510B8">
      <w:pPr>
        <w:spacing w:before="120" w:after="120" w:line="22" w:lineRule="atLeast"/>
        <w:ind w:firstLine="567"/>
        <w:jc w:val="both"/>
        <w:rPr>
          <w:sz w:val="28"/>
          <w:szCs w:val="28"/>
        </w:rPr>
      </w:pPr>
      <w:r w:rsidRPr="00A510B8">
        <w:rPr>
          <w:sz w:val="28"/>
          <w:szCs w:val="28"/>
        </w:rPr>
        <w:t>Nghị định 26/2026/NĐ-CP được xem là "đòn bẩy" thúc đẩy số hóa ngành hóa chất:</w:t>
      </w:r>
    </w:p>
    <w:p w14:paraId="05C34D31" w14:textId="77777777" w:rsidR="008B744C" w:rsidRPr="008B744C" w:rsidRDefault="008B744C" w:rsidP="008B744C">
      <w:pPr>
        <w:spacing w:before="120" w:after="120" w:line="22" w:lineRule="atLeast"/>
        <w:ind w:firstLine="720"/>
        <w:jc w:val="both"/>
        <w:rPr>
          <w:sz w:val="28"/>
          <w:szCs w:val="28"/>
        </w:rPr>
      </w:pPr>
      <w:r w:rsidRPr="008B744C">
        <w:rPr>
          <w:sz w:val="28"/>
          <w:szCs w:val="28"/>
        </w:rPr>
        <w:t>Dịch vụ công trực tuyến 100%: Công tác tổ chức thi hành được hiện đại hóa thông qua việc triển khai 100% các TTHC ở mức độ 3 và 4, liên thông với Cổng thông tin một cửa quốc gia.</w:t>
      </w:r>
    </w:p>
    <w:p w14:paraId="3075052D" w14:textId="77777777" w:rsidR="008B744C" w:rsidRPr="008B744C" w:rsidRDefault="008B744C" w:rsidP="008B744C">
      <w:pPr>
        <w:spacing w:before="120" w:after="120" w:line="22" w:lineRule="atLeast"/>
        <w:ind w:firstLine="720"/>
        <w:jc w:val="both"/>
        <w:rPr>
          <w:sz w:val="28"/>
          <w:szCs w:val="28"/>
        </w:rPr>
      </w:pPr>
      <w:r w:rsidRPr="008B744C">
        <w:rPr>
          <w:sz w:val="28"/>
          <w:szCs w:val="28"/>
        </w:rPr>
        <w:t>Khai thác Cơ sở dữ liệu chuyên ngành hóa chất: Việc vận hành hệ thống dữ liệu quốc gia giúp đơn giản hóa TTHC, thay thế dần hồ sơ giấy. Các doanh nghiệp đã bắt đầu làm quen với việc khai báo, báo cáo định kỳ và công bố thông tin trên môi trường điện tử.</w:t>
      </w:r>
    </w:p>
    <w:p w14:paraId="145467EA" w14:textId="77777777" w:rsidR="008B744C" w:rsidRPr="008B744C" w:rsidRDefault="008B744C" w:rsidP="008B744C">
      <w:pPr>
        <w:spacing w:before="120" w:after="120" w:line="22" w:lineRule="atLeast"/>
        <w:ind w:firstLine="720"/>
        <w:jc w:val="both"/>
        <w:rPr>
          <w:sz w:val="28"/>
          <w:szCs w:val="28"/>
        </w:rPr>
      </w:pPr>
      <w:r w:rsidRPr="008B744C">
        <w:rPr>
          <w:sz w:val="28"/>
          <w:szCs w:val="28"/>
        </w:rPr>
        <w:t>Giám sát chặt chẽ trên không gian mạng: Điểm sáng lớn là sự vào cuộc của Cục Thương mại điện tử và Kinh tế số. Cơ quan này đã giám sát gần 55.000 nền tảng trực tuyến, qua đó yêu cầu gỡ bỏ 44.406 sản phẩm và xử lý 12.396 gian hàng có dấu hiệu vi phạm (bao gồm hàng hóa kinh doanh có điều kiện như hóa chất).</w:t>
      </w:r>
    </w:p>
    <w:p w14:paraId="05234A50" w14:textId="77777777" w:rsidR="008B744C" w:rsidRPr="00A510B8" w:rsidRDefault="008B744C" w:rsidP="008B744C">
      <w:pPr>
        <w:spacing w:before="120" w:after="120" w:line="22" w:lineRule="atLeast"/>
        <w:ind w:firstLine="720"/>
        <w:jc w:val="both"/>
        <w:rPr>
          <w:b/>
          <w:sz w:val="28"/>
          <w:szCs w:val="28"/>
        </w:rPr>
      </w:pPr>
      <w:r w:rsidRPr="00A510B8">
        <w:rPr>
          <w:b/>
          <w:sz w:val="28"/>
          <w:szCs w:val="28"/>
        </w:rPr>
        <w:t>5. Công tác thanh tra, kiểm tra và sự tuân thủ của tổ chức, cá nhân được nâng cao</w:t>
      </w:r>
    </w:p>
    <w:p w14:paraId="35E68B6C" w14:textId="77777777" w:rsidR="008B744C" w:rsidRPr="008B744C" w:rsidRDefault="008B744C" w:rsidP="008B744C">
      <w:pPr>
        <w:spacing w:before="120" w:after="120" w:line="22" w:lineRule="atLeast"/>
        <w:ind w:firstLine="720"/>
        <w:jc w:val="both"/>
        <w:rPr>
          <w:sz w:val="28"/>
          <w:szCs w:val="28"/>
        </w:rPr>
      </w:pPr>
      <w:r w:rsidRPr="008B744C">
        <w:rPr>
          <w:sz w:val="28"/>
          <w:szCs w:val="28"/>
        </w:rPr>
        <w:t>Chấp hành pháp luật tốt: Các doanh nghiệp, đặc biệt là các tập đoàn lớn, đã chủ động rà soát điều kiện nhà xưởng, kho bãi, cập nhật nội quy, quy trình thao tác và trang bị phương tiện phòng ngừa sự cố. Ngay cả trong các ngành sử dụng hóa chất đặc thù quy mô nhỏ (như bảo quản tài liệu lưu trữ của Bộ Nội vụ), các đơn vị cũng trang bị đầy đủ bảo hộ và tuân thủ nghiêm ngặt, không để xảy ra sự cố.</w:t>
      </w:r>
    </w:p>
    <w:p w14:paraId="687F7617" w14:textId="77777777" w:rsidR="008B744C" w:rsidRPr="008B744C" w:rsidRDefault="008B744C" w:rsidP="008B744C">
      <w:pPr>
        <w:spacing w:before="120" w:after="120" w:line="22" w:lineRule="atLeast"/>
        <w:ind w:firstLine="720"/>
        <w:jc w:val="both"/>
        <w:rPr>
          <w:sz w:val="28"/>
          <w:szCs w:val="28"/>
        </w:rPr>
      </w:pPr>
      <w:r w:rsidRPr="008B744C">
        <w:rPr>
          <w:sz w:val="28"/>
          <w:szCs w:val="28"/>
        </w:rPr>
        <w:t>Hoạt động kiểm tra đi vào nề nếp: Các địa phương và bộ ngành (như Đồng Tháp, Cục ATMT) đã tiến hành các cuộc thanh tra, kiểm tra chuyên ngành. Kết quả cho thấy các cơ sở cơ bản chấp hành tốt; trên địa bàn cả nước chưa ghi nhận vụ việc mất an toàn, an ninh hóa chất nghiêm trọng hay thất thoát hóa chất vào mục đích trái phép (sản xuất ma túy)</w:t>
      </w:r>
    </w:p>
    <w:p w14:paraId="5F8B155E" w14:textId="0873E799" w:rsidR="0001237D" w:rsidRPr="0001237D" w:rsidRDefault="0001237D" w:rsidP="0001237D">
      <w:pPr>
        <w:spacing w:before="120" w:after="120" w:line="22" w:lineRule="atLeast"/>
        <w:ind w:firstLine="720"/>
        <w:jc w:val="both"/>
        <w:rPr>
          <w:b/>
          <w:sz w:val="28"/>
          <w:szCs w:val="28"/>
        </w:rPr>
      </w:pPr>
      <w:r w:rsidRPr="0001237D">
        <w:rPr>
          <w:b/>
          <w:sz w:val="28"/>
          <w:szCs w:val="28"/>
        </w:rPr>
        <w:t>II</w:t>
      </w:r>
      <w:r w:rsidR="00AC7E68">
        <w:rPr>
          <w:b/>
          <w:sz w:val="28"/>
          <w:szCs w:val="28"/>
        </w:rPr>
        <w:t>I</w:t>
      </w:r>
      <w:r w:rsidRPr="0001237D">
        <w:rPr>
          <w:b/>
          <w:sz w:val="28"/>
          <w:szCs w:val="28"/>
        </w:rPr>
        <w:t>. KẾT QUẢ ĐẠT ĐƯỢC</w:t>
      </w:r>
    </w:p>
    <w:p w14:paraId="1B5598F1" w14:textId="3873A2A8" w:rsidR="00AB727E" w:rsidRPr="00AB727E" w:rsidRDefault="00AB727E" w:rsidP="00AB727E">
      <w:pPr>
        <w:spacing w:before="120" w:after="120" w:line="22" w:lineRule="atLeast"/>
        <w:ind w:firstLine="720"/>
        <w:jc w:val="both"/>
        <w:rPr>
          <w:sz w:val="28"/>
          <w:szCs w:val="28"/>
        </w:rPr>
      </w:pPr>
      <w:r w:rsidRPr="00AB727E">
        <w:rPr>
          <w:sz w:val="28"/>
          <w:szCs w:val="28"/>
        </w:rPr>
        <w:t>Qua quá trình tổ chức thi hành Nghị định số 26/2026/NĐ-CP (và các văn bản liên quan như Nghị định số 25/2026/NĐ-CP, Thông tư 01</w:t>
      </w:r>
      <w:r>
        <w:rPr>
          <w:sz w:val="28"/>
          <w:szCs w:val="28"/>
        </w:rPr>
        <w:t>/</w:t>
      </w:r>
      <w:r w:rsidRPr="00AB727E">
        <w:rPr>
          <w:sz w:val="28"/>
          <w:szCs w:val="28"/>
        </w:rPr>
        <w:t>2026/TT-BCT, 02/2026/TT-BCT), công tác quản lý nhà nước về hóa chất trên phạm vi cả nước đã đạt được những kết quả toàn diện, thể hiện sự chuyển biến tích cực từ khâu thể chế, cải cách thủ tục hành chính đến thực tiễn tuân thủ của doanh nghiệp.</w:t>
      </w:r>
    </w:p>
    <w:p w14:paraId="3DD91E15" w14:textId="77777777" w:rsidR="00AB727E" w:rsidRPr="00AB727E" w:rsidRDefault="00AB727E" w:rsidP="00AB727E">
      <w:pPr>
        <w:spacing w:before="120" w:after="120" w:line="22" w:lineRule="atLeast"/>
        <w:ind w:firstLine="720"/>
        <w:jc w:val="both"/>
        <w:rPr>
          <w:b/>
          <w:sz w:val="28"/>
          <w:szCs w:val="28"/>
        </w:rPr>
      </w:pPr>
      <w:r w:rsidRPr="00AB727E">
        <w:rPr>
          <w:b/>
          <w:sz w:val="28"/>
          <w:szCs w:val="28"/>
        </w:rPr>
        <w:t>1. Công tác xây dựng văn bản, phân cấp quản lý và lồng ghép chuyên ngành</w:t>
      </w:r>
    </w:p>
    <w:p w14:paraId="4D63DEE0" w14:textId="1217ADFA" w:rsidR="00AB727E" w:rsidRPr="00AB727E" w:rsidRDefault="00AB727E" w:rsidP="00AB727E">
      <w:pPr>
        <w:spacing w:before="120" w:after="120" w:line="22" w:lineRule="atLeast"/>
        <w:ind w:firstLine="720"/>
        <w:jc w:val="both"/>
        <w:rPr>
          <w:sz w:val="28"/>
          <w:szCs w:val="28"/>
        </w:rPr>
      </w:pPr>
      <w:r w:rsidRPr="00AB727E">
        <w:rPr>
          <w:sz w:val="28"/>
          <w:szCs w:val="28"/>
        </w:rPr>
        <w:t xml:space="preserve">Hoàn thiện thể chế và phân cấp triệt để: Ở cấp Trung ương, Bộ Công Thương và các Bộ chuyên ngành đã ban hành kịp thời các Thông tư hướng dẫn (như Bộ VHTTDL ban hành Thông tư số 14/2026/TT-BVHTTDL quy định danh </w:t>
      </w:r>
      <w:r w:rsidRPr="00AB727E">
        <w:rPr>
          <w:sz w:val="28"/>
          <w:szCs w:val="28"/>
        </w:rPr>
        <w:lastRenderedPageBreak/>
        <w:t>mục hóa chất trong lĩnh vực văn hóa, thể thao; Bộ Xây dựng rà soát, phân định rõ trách nhiệm quản lý). Ở cấp địa phương, 100% các tỉnh, thành phố đã khẩn trương ban hành Quyết định công bố danh mục thủ tục hành chính (TTHC) mới và ủy quyền trực tiếp cho Giám đốc Sở Công Thương thực hiện các nhiệm vụ quản lý. Việc phân cấp này đã tạo cơ sở pháp lý vững chắc, giúp giảm đầu mối trung gian và tăng tính chủ động cho địa phương.</w:t>
      </w:r>
      <w:r w:rsidR="00DE4DA8">
        <w:rPr>
          <w:sz w:val="28"/>
          <w:szCs w:val="28"/>
        </w:rPr>
        <w:t xml:space="preserve"> </w:t>
      </w:r>
      <w:r w:rsidR="00DE4DA8" w:rsidRPr="00DE4DA8">
        <w:rPr>
          <w:sz w:val="28"/>
          <w:szCs w:val="28"/>
        </w:rPr>
        <w:t>Tại An Giang, công tác cấp phép thực tế đã ghi nhận việc cấp 01 Giấy phép nhập khẩu hóa chất cần kiểm soát đặc biệt Nhóm 1 và 01 chứng chỉ tư vấn chuyên ngành hóa chất (An Giang)</w:t>
      </w:r>
    </w:p>
    <w:p w14:paraId="0B6A09A6" w14:textId="42633271" w:rsidR="00AB727E" w:rsidRPr="00AB727E" w:rsidRDefault="00AB727E" w:rsidP="00AB727E">
      <w:pPr>
        <w:spacing w:before="120" w:after="120" w:line="22" w:lineRule="atLeast"/>
        <w:ind w:firstLine="720"/>
        <w:jc w:val="both"/>
        <w:rPr>
          <w:sz w:val="28"/>
          <w:szCs w:val="28"/>
        </w:rPr>
      </w:pPr>
      <w:r w:rsidRPr="00AB727E">
        <w:rPr>
          <w:sz w:val="28"/>
          <w:szCs w:val="28"/>
        </w:rPr>
        <w:t>Lồng ghép hiệu quả vào quản lý chuyên ngành: Công tác quản lý được triển khai đồng bộ, gắn với hoạt động quản lý vật tư nông nghiệp, chất lượng sản phẩm, hàng hóa, an toàn thực phẩm và bảo vệ môi trường trong sản xuất nông nghiệp. Nội dung quản lý tập trung vào các lĩnh vực như: Thuốc bảo vệ thực vật; phân bón; thuốc thú y; thức ăn chăn nuôi; hóa chất, chế phẩm xử lý môi trường trong nuôi trồng thủy sản; hóa chất sử dụng trong bảo quản, sơ chế, chế biến nông, lâm, thủy sản và các sản phẩm, hàng hóa thuộc phạm vi quản lý của ngành giúp bảo đảm an toàn thực phẩm và truy xuất nguồn gốc nông sản. Trong lĩnh vực lưu trữ quốc gia, Bộ Nội vụ đã chuẩn hóa quy trình sử dụng hóa chất phục vụ tu bổ, khử nấm mốc tài liệu, đảm bảo tuyệt đối an toàn cho người lao động và tài liệu.</w:t>
      </w:r>
    </w:p>
    <w:p w14:paraId="7E00E9B6" w14:textId="77777777" w:rsidR="00AB727E" w:rsidRPr="00AB727E" w:rsidRDefault="00AB727E" w:rsidP="00AB727E">
      <w:pPr>
        <w:spacing w:before="120" w:after="120" w:line="22" w:lineRule="atLeast"/>
        <w:ind w:firstLine="720"/>
        <w:jc w:val="both"/>
        <w:rPr>
          <w:b/>
          <w:sz w:val="28"/>
          <w:szCs w:val="28"/>
        </w:rPr>
      </w:pPr>
      <w:r w:rsidRPr="00AB727E">
        <w:rPr>
          <w:b/>
          <w:sz w:val="28"/>
          <w:szCs w:val="28"/>
        </w:rPr>
        <w:t>2. Đột phá trong chuyển đổi số và cải cách thủ tục hành chính</w:t>
      </w:r>
    </w:p>
    <w:p w14:paraId="0412E51B" w14:textId="77777777" w:rsidR="00AB727E" w:rsidRPr="00AB727E" w:rsidRDefault="00AB727E" w:rsidP="00AB727E">
      <w:pPr>
        <w:spacing w:before="120" w:after="120" w:line="22" w:lineRule="atLeast"/>
        <w:ind w:firstLine="720"/>
        <w:jc w:val="both"/>
        <w:rPr>
          <w:sz w:val="28"/>
          <w:szCs w:val="28"/>
        </w:rPr>
      </w:pPr>
      <w:r w:rsidRPr="00AB727E">
        <w:rPr>
          <w:sz w:val="28"/>
          <w:szCs w:val="28"/>
        </w:rPr>
        <w:t>Áp dụng 100% dịch vụ công trực tuyến: Các TTHC cốt lõi đã được triển khai ở mức độ 3 và 4, liên thông trực tiếp với Cổng thông tin một cửa quốc gia. Việc nộp hồ sơ, khai báo và cấp giấy phép điện tử đã giúp doanh nghiệp tiết giảm đáng kể thời gian, chi phí in ấn và tăng cường tính công khai, minh bạch.</w:t>
      </w:r>
    </w:p>
    <w:p w14:paraId="63EBE531" w14:textId="12D3A699" w:rsidR="00AB727E" w:rsidRPr="00AB727E" w:rsidRDefault="00AB727E" w:rsidP="00AB727E">
      <w:pPr>
        <w:spacing w:before="120" w:after="120" w:line="22" w:lineRule="atLeast"/>
        <w:ind w:firstLine="720"/>
        <w:jc w:val="both"/>
        <w:rPr>
          <w:sz w:val="28"/>
          <w:szCs w:val="28"/>
        </w:rPr>
      </w:pPr>
      <w:r w:rsidRPr="00AB727E">
        <w:rPr>
          <w:sz w:val="28"/>
          <w:szCs w:val="28"/>
        </w:rPr>
        <w:t>Chuyển đổi phương thức quản lý: Cơ quan quản lý đã chuyển mạnh từ "tiền kiểm" hồ sơ giấy sang "hậu kiểm" dựa trên Cơ sở dữ liệu chuyên ngành hóa chất. Cơ quan Hải quan</w:t>
      </w:r>
      <w:r>
        <w:rPr>
          <w:sz w:val="28"/>
          <w:szCs w:val="28"/>
        </w:rPr>
        <w:t xml:space="preserve"> triển khai có hiệu quả phương thức quản lý dựa trên cơ sở đánh giá mức độ rủi ro; thực hiện phân loại nhóm hóa chất, đối chiếu tiêu chí kỹ thuật để xác định đúng điều kiện, giấy phép chuyên ngành và nghĩa vụ khai báo tương ứng đối với từng lô hàng hóa chất cụ thể, </w:t>
      </w:r>
      <w:r w:rsidRPr="00AB727E">
        <w:rPr>
          <w:sz w:val="28"/>
          <w:szCs w:val="28"/>
        </w:rPr>
        <w:t>kiểm soát chặt chẽ các nhóm hóa chất nguy cơ cao.</w:t>
      </w:r>
      <w:r w:rsidR="00DE4DA8">
        <w:rPr>
          <w:sz w:val="28"/>
          <w:szCs w:val="28"/>
        </w:rPr>
        <w:t xml:space="preserve"> </w:t>
      </w:r>
      <w:r w:rsidR="00DE4DA8" w:rsidRPr="00DE4DA8">
        <w:rPr>
          <w:sz w:val="28"/>
          <w:szCs w:val="28"/>
        </w:rPr>
        <w:t xml:space="preserve">Bộ Quốc phòng đã hoàn tất rà soát và chuẩn bị các điều kiện kỹ thuật để kết nối dữ liệu chuyên ngành vào hệ thống quốc gia, tuy nhiên vẫn phải duy trì các giải pháp bảo mật nghiêm ngặt đối với thông tin quân sự </w:t>
      </w:r>
      <w:r w:rsidR="00DE4DA8">
        <w:rPr>
          <w:sz w:val="28"/>
          <w:szCs w:val="28"/>
        </w:rPr>
        <w:t>.</w:t>
      </w:r>
    </w:p>
    <w:p w14:paraId="5C8D643F" w14:textId="77777777" w:rsidR="00AB727E" w:rsidRPr="00AB727E" w:rsidRDefault="00AB727E" w:rsidP="00AB727E">
      <w:pPr>
        <w:spacing w:before="120" w:after="120" w:line="22" w:lineRule="atLeast"/>
        <w:ind w:firstLine="720"/>
        <w:jc w:val="both"/>
        <w:rPr>
          <w:b/>
          <w:sz w:val="28"/>
          <w:szCs w:val="28"/>
        </w:rPr>
      </w:pPr>
      <w:r w:rsidRPr="00AB727E">
        <w:rPr>
          <w:b/>
          <w:sz w:val="28"/>
          <w:szCs w:val="28"/>
        </w:rPr>
        <w:t xml:space="preserve">3. Công tác tiếp nhận, thẩm định và cấp phép đạt hiệu suất cao </w:t>
      </w:r>
    </w:p>
    <w:p w14:paraId="6BC48554" w14:textId="374BA2C6" w:rsidR="00AB727E" w:rsidRPr="00AB727E" w:rsidRDefault="00AB727E" w:rsidP="00AB727E">
      <w:pPr>
        <w:spacing w:before="120" w:after="120" w:line="22" w:lineRule="atLeast"/>
        <w:ind w:firstLine="720"/>
        <w:jc w:val="both"/>
        <w:rPr>
          <w:sz w:val="28"/>
          <w:szCs w:val="28"/>
        </w:rPr>
      </w:pPr>
      <w:r w:rsidRPr="00AB727E">
        <w:rPr>
          <w:sz w:val="28"/>
          <w:szCs w:val="28"/>
        </w:rPr>
        <w:t>Chủ trương phân quyền về UBND cấp tỉnh đã phát huy hiệu quả to lớn, không xảy ra tình trạng ách tắc hồ sơ. Các địa phương đã xử lý khối lượng công việc khổng lồ một cách thông suốt:</w:t>
      </w:r>
    </w:p>
    <w:p w14:paraId="6D3BE35F" w14:textId="77777777" w:rsidR="00AB727E" w:rsidRPr="00AB727E" w:rsidRDefault="00AB727E" w:rsidP="00AB727E">
      <w:pPr>
        <w:spacing w:before="120" w:after="120" w:line="22" w:lineRule="atLeast"/>
        <w:ind w:firstLine="720"/>
        <w:jc w:val="both"/>
        <w:rPr>
          <w:sz w:val="28"/>
          <w:szCs w:val="28"/>
        </w:rPr>
      </w:pPr>
      <w:r w:rsidRPr="00AB727E">
        <w:rPr>
          <w:sz w:val="28"/>
          <w:szCs w:val="28"/>
        </w:rPr>
        <w:t>Tại các tỉnh có quy mô công nghiệp lớn: Phú Thọ giải quyết 605 hồ sơ (trong đó có 502 Giấy phép nhập khẩu hóa chất Nhóm 2; 96 Giấy phép Nhóm 1) với thời gian trả kết quả trước hạn từ 01 đến 02 ngày. Ninh Bình đã cấp 133 Giấy phép nhập khẩu Nhóm 2, 33 Giấy phép Nhóm 1 và 07 Giấy phép xuất khẩu.</w:t>
      </w:r>
    </w:p>
    <w:p w14:paraId="2D8E9718" w14:textId="77777777" w:rsidR="00AB727E" w:rsidRPr="00AB727E" w:rsidRDefault="00AB727E" w:rsidP="00AB727E">
      <w:pPr>
        <w:spacing w:before="120" w:after="120" w:line="22" w:lineRule="atLeast"/>
        <w:ind w:firstLine="720"/>
        <w:jc w:val="both"/>
        <w:rPr>
          <w:sz w:val="28"/>
          <w:szCs w:val="28"/>
        </w:rPr>
      </w:pPr>
      <w:r w:rsidRPr="00AB727E">
        <w:rPr>
          <w:sz w:val="28"/>
          <w:szCs w:val="28"/>
        </w:rPr>
        <w:lastRenderedPageBreak/>
        <w:t>Tại các tỉnh, thành phố khác: TTHC được giải quyết đúng hạn và linh hoạt. Quảng Ngãi cấp 32 Giấy phép nhập khẩu các nhóm; Đồng Tháp cấp 32 Giấy phép nhập khẩu; Quảng Ninh cấp 25 Giấy phép nhập khẩu. Các địa phương như Gia Lai, Đà Nẵng, Đắk Lắk, Hà Tĩnh, Quảng Trị đều hoàn thành xuất sắc việc thẩm định và cấp phép. Riêng các địa phương không phát sinh hồ sơ như Lai Châu vẫn duy trì nghiêm ngặt hệ thống quản lý.</w:t>
      </w:r>
    </w:p>
    <w:p w14:paraId="524736A1" w14:textId="77777777" w:rsidR="00AB727E" w:rsidRPr="00AB727E" w:rsidRDefault="00AB727E" w:rsidP="00AB727E">
      <w:pPr>
        <w:spacing w:before="120" w:after="120" w:line="22" w:lineRule="atLeast"/>
        <w:ind w:firstLine="720"/>
        <w:jc w:val="both"/>
        <w:rPr>
          <w:b/>
          <w:sz w:val="28"/>
          <w:szCs w:val="28"/>
        </w:rPr>
      </w:pPr>
      <w:r w:rsidRPr="00AB727E">
        <w:rPr>
          <w:b/>
          <w:sz w:val="28"/>
          <w:szCs w:val="28"/>
        </w:rPr>
        <w:t>4. Hiệu quả trong công tác thanh tra, kiểm tra và giám sát không gian mạng</w:t>
      </w:r>
    </w:p>
    <w:p w14:paraId="1107A033" w14:textId="77777777" w:rsidR="00AB727E" w:rsidRPr="00AB727E" w:rsidRDefault="00AB727E" w:rsidP="00AB727E">
      <w:pPr>
        <w:spacing w:before="120" w:after="120" w:line="22" w:lineRule="atLeast"/>
        <w:ind w:firstLine="720"/>
        <w:jc w:val="both"/>
        <w:rPr>
          <w:sz w:val="28"/>
          <w:szCs w:val="28"/>
        </w:rPr>
      </w:pPr>
      <w:r w:rsidRPr="00AB727E">
        <w:rPr>
          <w:sz w:val="28"/>
          <w:szCs w:val="28"/>
        </w:rPr>
        <w:t>Làm sạch môi trường Thương mại điện tử: Cục Thương mại điện tử và Kinh tế số đã triển khai hệ thống giám sát 54.764 nền tảng bán hàng và 1.100 nền tảng trung gian. Chỉ trong 6 tháng, đã quyết liệt yêu cầu gỡ bỏ 44.406 sản phẩm và xử lý 12.396 gian hàng vi phạm (hàng giả, hàng kinh doanh có điều kiện), chấn chỉnh triệt để việc mua bán hóa chất trái phép trên mạng.</w:t>
      </w:r>
    </w:p>
    <w:p w14:paraId="6C99729B" w14:textId="088DDD96" w:rsidR="00AB727E" w:rsidRPr="00AB727E" w:rsidRDefault="00AB727E" w:rsidP="00AB727E">
      <w:pPr>
        <w:spacing w:before="120" w:after="120" w:line="22" w:lineRule="atLeast"/>
        <w:ind w:firstLine="720"/>
        <w:jc w:val="both"/>
        <w:rPr>
          <w:sz w:val="28"/>
          <w:szCs w:val="28"/>
        </w:rPr>
      </w:pPr>
      <w:r w:rsidRPr="00AB727E">
        <w:rPr>
          <w:sz w:val="28"/>
          <w:szCs w:val="28"/>
        </w:rPr>
        <w:t>Giám sát an ninh, an toàn công nghiệp: Qua các đợt kiểm tra của Cục Kỹ thuật an toàn và Môi trường công nghiệp, Cục Công nghiệp và các địa phương, cơ bản các doanh nghiệp đều chấp hành tốt quy định về nhà xưởng, biển báo và an toàn. Cơ chế phối hợp liên ngành (Công Thương, Công an, Hải quan) đã phát huy tác dụng, kiểm soát chặt chẽ tiền chất công nghiệp; chưa ghi nhận bất kỳ vụ việc thất thoát hóa chất để sản xuất ma túy hay sự cố cháy nổ hóa chất nghiêm trọng nào trên phạm vi cả nước.</w:t>
      </w:r>
      <w:r w:rsidR="00446C6A">
        <w:rPr>
          <w:sz w:val="28"/>
          <w:szCs w:val="28"/>
        </w:rPr>
        <w:t xml:space="preserve"> </w:t>
      </w:r>
      <w:r w:rsidR="00446C6A" w:rsidRPr="00446C6A">
        <w:rPr>
          <w:sz w:val="28"/>
          <w:szCs w:val="28"/>
        </w:rPr>
        <w:t>Xác nhận từ Bộ Quốc phòng và Bộ Khoa học và Công nghệ cho thấy chưa phát sinh sự cố mất an toàn hoặc các hồ sơ cấp phép phức tạp, tồn đọng trong lĩnh vực chuyên ngành thuộc thẩm quyền quản lý</w:t>
      </w:r>
      <w:r w:rsidR="00446C6A">
        <w:rPr>
          <w:rFonts w:ascii="Google Sans Text" w:hAnsi="Google Sans Text"/>
          <w:b/>
          <w:bCs/>
          <w:color w:val="303030"/>
          <w:shd w:val="clear" w:color="auto" w:fill="FFFFFF"/>
        </w:rPr>
        <w:t> </w:t>
      </w:r>
      <w:r w:rsidR="00446C6A">
        <w:rPr>
          <w:rFonts w:ascii="Google Sans Text" w:hAnsi="Google Sans Text"/>
          <w:b/>
          <w:bCs/>
          <w:color w:val="303030"/>
          <w:shd w:val="clear" w:color="auto" w:fill="FFFFFF"/>
        </w:rPr>
        <w:t>.</w:t>
      </w:r>
    </w:p>
    <w:p w14:paraId="55CE9958" w14:textId="77777777" w:rsidR="00AB727E" w:rsidRPr="00AB727E" w:rsidRDefault="00AB727E" w:rsidP="00AB727E">
      <w:pPr>
        <w:spacing w:before="120" w:after="120" w:line="22" w:lineRule="atLeast"/>
        <w:ind w:firstLine="720"/>
        <w:jc w:val="both"/>
        <w:rPr>
          <w:b/>
          <w:sz w:val="28"/>
          <w:szCs w:val="28"/>
        </w:rPr>
      </w:pPr>
      <w:r w:rsidRPr="00AB727E">
        <w:rPr>
          <w:b/>
          <w:sz w:val="28"/>
          <w:szCs w:val="28"/>
        </w:rPr>
        <w:t>5. Sự tuân thủ và đổi mới từ phía doanh nghiệp</w:t>
      </w:r>
    </w:p>
    <w:p w14:paraId="71DDBAAE" w14:textId="77777777" w:rsidR="00AB727E" w:rsidRPr="00AB727E" w:rsidRDefault="00AB727E" w:rsidP="00AB727E">
      <w:pPr>
        <w:spacing w:before="120" w:after="120" w:line="22" w:lineRule="atLeast"/>
        <w:ind w:firstLine="720"/>
        <w:jc w:val="both"/>
        <w:rPr>
          <w:sz w:val="28"/>
          <w:szCs w:val="28"/>
        </w:rPr>
      </w:pPr>
      <w:r w:rsidRPr="00AB727E">
        <w:rPr>
          <w:sz w:val="28"/>
          <w:szCs w:val="28"/>
        </w:rPr>
        <w:t>Nâng cấp cơ sở hạ tầng và quy trình: Các doanh nghiệp, đặc biệt là các đơn vị thuộc Tập đoàn Hóa chất Việt Nam (HCVN), đã chủ động đầu tư, cải tạo nhà xưởng, kho chứa đạt tiêu chuẩn quốc gia; phân khu bảo quản hóa chất bài bản và đầu tư hệ thống phòng cháy chữa cháy. Các doanh nghiệp đã bố trí nhân sự có trình độ chuyên môn kỹ thuật cao phụ trách an toàn.</w:t>
      </w:r>
    </w:p>
    <w:p w14:paraId="624F8CC3" w14:textId="77777777" w:rsidR="00AB727E" w:rsidRPr="00AB727E" w:rsidRDefault="00AB727E" w:rsidP="00AB727E">
      <w:pPr>
        <w:spacing w:before="120" w:after="120" w:line="22" w:lineRule="atLeast"/>
        <w:ind w:firstLine="720"/>
        <w:jc w:val="both"/>
        <w:rPr>
          <w:sz w:val="28"/>
          <w:szCs w:val="28"/>
        </w:rPr>
      </w:pPr>
      <w:r w:rsidRPr="00AB727E">
        <w:rPr>
          <w:sz w:val="28"/>
          <w:szCs w:val="28"/>
        </w:rPr>
        <w:t>Cách làm hay, sáng tạo: Tập đoàn HCVN đã tiên phong trong việc ứng dụng công nghệ thông tin tại nhà máy bằng cách áp dụng mã QR tại các kho bãi, giúp người lao động dễ dàng tra cứu Phiếu an toàn hóa chất (SDS/MSDS) bằng thiết bị di động, nâng cao tính chủ động trong phòng ngừa sự cố. Doanh nghiệp đã chú trọng tổ chức diễn tập ứng phó sự cố và huấn luyện an toàn định kỳ, góp phần hình thành văn hóa an toàn hóa chất trong sản xuất</w:t>
      </w:r>
    </w:p>
    <w:p w14:paraId="13AB0E2C"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III. KHÓ KHĂN, VƯỚNG MẮC</w:t>
      </w:r>
    </w:p>
    <w:p w14:paraId="244B606A"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1. Về quy định pháp luật</w:t>
      </w:r>
    </w:p>
    <w:p w14:paraId="4D0636E2" w14:textId="77777777" w:rsidR="0087701E" w:rsidRPr="0087701E" w:rsidRDefault="0087701E" w:rsidP="0087701E">
      <w:pPr>
        <w:spacing w:before="120" w:after="120" w:line="22" w:lineRule="atLeast"/>
        <w:ind w:firstLine="720"/>
        <w:jc w:val="both"/>
        <w:rPr>
          <w:sz w:val="28"/>
          <w:szCs w:val="28"/>
        </w:rPr>
      </w:pPr>
      <w:r w:rsidRPr="0087701E">
        <w:rPr>
          <w:sz w:val="28"/>
          <w:szCs w:val="28"/>
        </w:rPr>
        <w:t>Qua thực tiễn tổ chức thi hành, mặc dù Nghị định số 26/2026/NĐ-CP đã tạo lập khung pháp lý tương đối toàn diện, nhưng hệ thống quy định vẫn bộc lộ một số khó khăn, vướng mắc, sự thiếu đồng bộ và những điểm nghẽn pháp lý cụ thể như sau:</w:t>
      </w:r>
    </w:p>
    <w:p w14:paraId="027467C7" w14:textId="77777777" w:rsidR="0087701E" w:rsidRPr="0087701E" w:rsidRDefault="0087701E" w:rsidP="0087701E">
      <w:pPr>
        <w:spacing w:before="120" w:after="120" w:line="22" w:lineRule="atLeast"/>
        <w:ind w:firstLine="720"/>
        <w:jc w:val="both"/>
        <w:rPr>
          <w:sz w:val="28"/>
          <w:szCs w:val="28"/>
        </w:rPr>
      </w:pPr>
      <w:r w:rsidRPr="0087701E">
        <w:rPr>
          <w:sz w:val="28"/>
          <w:szCs w:val="28"/>
        </w:rPr>
        <w:t>1.1. Chồng chéo, lặp lại với các văn bản quy phạm pháp luật khác</w:t>
      </w:r>
    </w:p>
    <w:p w14:paraId="46BDF171" w14:textId="77777777" w:rsidR="0087701E" w:rsidRPr="0087701E" w:rsidRDefault="0087701E" w:rsidP="0087701E">
      <w:pPr>
        <w:spacing w:before="120" w:after="120" w:line="22" w:lineRule="atLeast"/>
        <w:ind w:firstLine="720"/>
        <w:jc w:val="both"/>
        <w:rPr>
          <w:sz w:val="28"/>
          <w:szCs w:val="28"/>
        </w:rPr>
      </w:pPr>
      <w:r w:rsidRPr="0087701E">
        <w:rPr>
          <w:sz w:val="28"/>
          <w:szCs w:val="28"/>
        </w:rPr>
        <w:lastRenderedPageBreak/>
        <w:t>Với Nghị định số 25/2026/NĐ-CP: Nhiều địa phương và cơ quan quản lý chỉ ra rằng các điều khoản tại Nghị định 26 (như Điều 7, 8, 11, 12, 16, 19) đang dẫn chiếu, lặp lại các yêu cầu về điều kiện an toàn, nhà xưởng, kho bãi vốn đã được quy định rất chi tiết và tập trung tại Chương V của Nghị định số 25/2026/NĐ-CP. Việc duy trì các dẫn chiếu này làm văn bản trở nên rườm rà, gây khó khăn cho quá trình tra cứu và áp dụng thống nhất.</w:t>
      </w:r>
    </w:p>
    <w:p w14:paraId="7FE46613" w14:textId="5374E082" w:rsidR="0087701E" w:rsidRPr="0087701E" w:rsidRDefault="0087701E" w:rsidP="0087701E">
      <w:pPr>
        <w:spacing w:before="120" w:after="120" w:line="22" w:lineRule="atLeast"/>
        <w:ind w:firstLine="720"/>
        <w:jc w:val="both"/>
        <w:rPr>
          <w:sz w:val="28"/>
          <w:szCs w:val="28"/>
        </w:rPr>
      </w:pPr>
      <w:r w:rsidRPr="0087701E">
        <w:rPr>
          <w:sz w:val="28"/>
          <w:szCs w:val="28"/>
        </w:rPr>
        <w:t>Với pháp luật chuyên ngành khác: Có sự giao thoa và mâu thuẫn về phạm vi quản lý. Đơn cử, cơ quan Hải quan và địa phương phản ánh sự thiếu đồng bộ giữa pháp luật hóa chất và Luật Dược đối với nguyên liệu làm thuốc nhập khẩu, dẫn đến lúng túng trong việc xác định có phải thực hiện khai báo hóa chất hay không. Ngoài ra, thuật ngữ "chất độc" được phân loại theo GHS tại Nghị định 26</w:t>
      </w:r>
      <w:r>
        <w:rPr>
          <w:sz w:val="28"/>
          <w:szCs w:val="28"/>
        </w:rPr>
        <w:t>/2026/NĐ-CP</w:t>
      </w:r>
      <w:r w:rsidRPr="0087701E">
        <w:rPr>
          <w:sz w:val="28"/>
          <w:szCs w:val="28"/>
        </w:rPr>
        <w:t xml:space="preserve"> chưa có sự đồng bộ với khái niệm "hóa chất độc", "hóa chất độc hại" trong pháp luật về bảo vệ môi trường, gây khó khăn khi xác định mức độ tác động môi trường của dự án. Trong lĩnh vực nông nghiệp, hệ thống văn bản liên quan đến nhiều luật chuyên ngành (Trồng trọt, Chăn nuôi, Thủy sản) dẫn đến sự giao thoa, gây khó khăn trong phối hợp liên ngành.</w:t>
      </w:r>
    </w:p>
    <w:p w14:paraId="782CD891" w14:textId="77777777" w:rsidR="0087701E" w:rsidRPr="0087701E" w:rsidRDefault="0087701E" w:rsidP="0087701E">
      <w:pPr>
        <w:spacing w:before="120" w:after="120" w:line="22" w:lineRule="atLeast"/>
        <w:ind w:firstLine="720"/>
        <w:jc w:val="both"/>
        <w:rPr>
          <w:sz w:val="28"/>
          <w:szCs w:val="28"/>
        </w:rPr>
      </w:pPr>
      <w:r w:rsidRPr="0087701E">
        <w:rPr>
          <w:sz w:val="28"/>
          <w:szCs w:val="28"/>
        </w:rPr>
        <w:t>1.2. Bất cập về ngưỡng kiểm soát và cơ chế miễn trừ</w:t>
      </w:r>
    </w:p>
    <w:p w14:paraId="6B7D21A4" w14:textId="77777777" w:rsidR="0087701E" w:rsidRPr="0087701E" w:rsidRDefault="0087701E" w:rsidP="0087701E">
      <w:pPr>
        <w:spacing w:before="120" w:after="120" w:line="22" w:lineRule="atLeast"/>
        <w:ind w:firstLine="720"/>
        <w:jc w:val="both"/>
        <w:rPr>
          <w:sz w:val="28"/>
          <w:szCs w:val="28"/>
        </w:rPr>
      </w:pPr>
      <w:r w:rsidRPr="0087701E">
        <w:rPr>
          <w:sz w:val="28"/>
          <w:szCs w:val="28"/>
        </w:rPr>
        <w:t>Ngưỡng miễn trừ quá khắt khe: Đa số ý kiến thống nhất rằng quy định ngưỡng miễn trừ cấp phép/khai báo đối với hỗn hợp chất có hàm lượng hóa chất kiểm soát &lt; 0,1% là quá thấp và không sát thực tiễn. Quy định này tạo ra áp lực thủ tục hành chính khổng lồ không cần thiết đối với các sản phẩm có độ nguy hại không đáng kể, làm chậm tốc độ lưu thông hàng hóa.</w:t>
      </w:r>
    </w:p>
    <w:p w14:paraId="3A80913B" w14:textId="77777777" w:rsidR="0087701E" w:rsidRPr="0087701E" w:rsidRDefault="0087701E" w:rsidP="0087701E">
      <w:pPr>
        <w:spacing w:before="120" w:after="120" w:line="22" w:lineRule="atLeast"/>
        <w:ind w:firstLine="720"/>
        <w:jc w:val="both"/>
        <w:rPr>
          <w:sz w:val="28"/>
          <w:szCs w:val="28"/>
        </w:rPr>
      </w:pPr>
      <w:r w:rsidRPr="0087701E">
        <w:rPr>
          <w:sz w:val="28"/>
          <w:szCs w:val="28"/>
        </w:rPr>
        <w:t>Sự mơ hồ trong quy định định lượng: Quy định miễn khai báo đối với trường hợp "nhập khẩu dưới 10 kg hóa chất" (tại điểm c khoản 7 Điều 6) chưa xác định rõ khối lượng này được tính theo từng loại hóa chất, từng mặt hàng, từng tờ khai hải quan hay tổng khối lượng lô hàng, dẫn đến tình trạng áp dụng không thống nhất tại các chi cục hải quan.</w:t>
      </w:r>
    </w:p>
    <w:p w14:paraId="715059A0" w14:textId="77777777" w:rsidR="0087701E" w:rsidRPr="0087701E" w:rsidRDefault="0087701E" w:rsidP="0087701E">
      <w:pPr>
        <w:spacing w:before="120" w:after="120" w:line="22" w:lineRule="atLeast"/>
        <w:ind w:firstLine="720"/>
        <w:jc w:val="both"/>
        <w:rPr>
          <w:sz w:val="28"/>
          <w:szCs w:val="28"/>
        </w:rPr>
      </w:pPr>
      <w:r w:rsidRPr="0087701E">
        <w:rPr>
          <w:sz w:val="28"/>
          <w:szCs w:val="28"/>
        </w:rPr>
        <w:t>Thiếu linh hoạt cho R&amp;D và sản phẩm thông dụng: Cơ chế hiện hành chưa có quy định miễn trừ thủ tục linh hoạt cho các hóa chất mới hoặc hóa chất phòng thí nghiệm có khối lượng siêu nhỏ (ví dụ ≤ 1mg/lần), gây ách tắc cho hoạt động nghiên cứu khoa học. Đồng thời, các địa phương chưa có căn cứ rõ ràng để xác định việc miễn trừ đối với các sản phẩm tiêu dùng, bảo dưỡng thông dụng có chứa hóa chất (như dầu nhớt, nước làm mát, sơn, chất tẩy rửa dùng trong sửa chữa ô tô, xe máy).</w:t>
      </w:r>
    </w:p>
    <w:p w14:paraId="328B3D1F" w14:textId="77777777" w:rsidR="0087701E" w:rsidRPr="0087701E" w:rsidRDefault="0087701E" w:rsidP="0087701E">
      <w:pPr>
        <w:spacing w:before="120" w:after="120" w:line="22" w:lineRule="atLeast"/>
        <w:ind w:firstLine="720"/>
        <w:jc w:val="both"/>
        <w:rPr>
          <w:sz w:val="28"/>
          <w:szCs w:val="28"/>
        </w:rPr>
      </w:pPr>
      <w:r w:rsidRPr="0087701E">
        <w:rPr>
          <w:sz w:val="28"/>
          <w:szCs w:val="28"/>
        </w:rPr>
        <w:t>1.3. Quy định hồ sơ, thủ tục hành chính còn dư thừa, bất cập</w:t>
      </w:r>
    </w:p>
    <w:p w14:paraId="22B49A9E" w14:textId="77777777" w:rsidR="0087701E" w:rsidRPr="0087701E" w:rsidRDefault="0087701E" w:rsidP="0087701E">
      <w:pPr>
        <w:spacing w:before="120" w:after="120" w:line="22" w:lineRule="atLeast"/>
        <w:ind w:firstLine="720"/>
        <w:jc w:val="both"/>
        <w:rPr>
          <w:sz w:val="28"/>
          <w:szCs w:val="28"/>
        </w:rPr>
      </w:pPr>
      <w:r w:rsidRPr="0087701E">
        <w:rPr>
          <w:sz w:val="28"/>
          <w:szCs w:val="28"/>
        </w:rPr>
        <w:t>Gánh nặng hồ sơ giấy: Dù định hướng chuyển đổi số, Nghị định vẫn yêu cầu doanh nghiệp nộp bản giấy Phiếu an toàn hóa chất (MSDS) và Thông báo kết quả kiểm tra nghiệm thu công trình xây dựng khi xin cấp phép. Đặc biệt, yêu cầu văn bản nghiệm thu công trình gây bế tắc cho các cơ sở sản xuất có yếu tố lịch sử, được xây dựng và đưa vào hoạt động trước khi Luật Xây dựng 2014 có hiệu lực.</w:t>
      </w:r>
    </w:p>
    <w:p w14:paraId="059C5666" w14:textId="77777777" w:rsidR="0087701E" w:rsidRPr="0087701E" w:rsidRDefault="0087701E" w:rsidP="0087701E">
      <w:pPr>
        <w:spacing w:before="120" w:after="120" w:line="22" w:lineRule="atLeast"/>
        <w:ind w:firstLine="720"/>
        <w:jc w:val="both"/>
        <w:rPr>
          <w:sz w:val="28"/>
          <w:szCs w:val="28"/>
        </w:rPr>
      </w:pPr>
      <w:r w:rsidRPr="0087701E">
        <w:rPr>
          <w:sz w:val="28"/>
          <w:szCs w:val="28"/>
        </w:rPr>
        <w:lastRenderedPageBreak/>
        <w:t>Thời hạn giải quyết và thời hạn giấy phép: Việc duy trì quy định công bố loại hóa chất và mục đích sử dụng trước 30 ngày đối với hóa chất đưa vào sử dụng lần đầu là quá dài, gây gián đoạn sản xuất của doanh nghiệp. Thời hạn Giấy phép xuất/nhập khẩu hóa chất cần kiểm soát đặc biệt chỉ có 06 tháng là chưa phù hợp với các hợp đồng cung ứng dài hạn.</w:t>
      </w:r>
    </w:p>
    <w:p w14:paraId="59AB46F8" w14:textId="77777777" w:rsidR="0087701E" w:rsidRPr="0087701E" w:rsidRDefault="0087701E" w:rsidP="0087701E">
      <w:pPr>
        <w:spacing w:before="120" w:after="120" w:line="22" w:lineRule="atLeast"/>
        <w:ind w:firstLine="720"/>
        <w:jc w:val="both"/>
        <w:rPr>
          <w:sz w:val="28"/>
          <w:szCs w:val="28"/>
        </w:rPr>
      </w:pPr>
      <w:r w:rsidRPr="0087701E">
        <w:rPr>
          <w:sz w:val="28"/>
          <w:szCs w:val="28"/>
        </w:rPr>
        <w:t>Quy định lập Phiếu kiểm soát: Yêu cầu lập Phiếu kiểm soát mua bán hóa chất cho từng lần giao dịch đối với khách hàng thường xuyên, mua liên tục làm tăng đáng kể khối lượng công việc hành chính. Cơ quan quản lý cũng chỉ ra sự thiếu hụt cơ chế ràng buộc trách nhiệm của "bên mua" trong việc cung cấp thông tin, khiến "bên bán" gặp khó khi lập phiếu khai báo.</w:t>
      </w:r>
    </w:p>
    <w:p w14:paraId="1ACE6F9D" w14:textId="77777777" w:rsidR="0087701E" w:rsidRPr="0087701E" w:rsidRDefault="0087701E" w:rsidP="0087701E">
      <w:pPr>
        <w:spacing w:before="120" w:after="120" w:line="22" w:lineRule="atLeast"/>
        <w:ind w:firstLine="720"/>
        <w:jc w:val="both"/>
        <w:rPr>
          <w:sz w:val="28"/>
          <w:szCs w:val="28"/>
        </w:rPr>
      </w:pPr>
      <w:r w:rsidRPr="0087701E">
        <w:rPr>
          <w:sz w:val="28"/>
          <w:szCs w:val="28"/>
        </w:rPr>
        <w:t>1.4. Mâu thuẫn trong phân cấp thẩm quyền và thiếu hụt quy chuẩn kỹ thuật</w:t>
      </w:r>
    </w:p>
    <w:p w14:paraId="7C9C9380" w14:textId="77777777" w:rsidR="0087701E" w:rsidRPr="0087701E" w:rsidRDefault="0087701E" w:rsidP="0087701E">
      <w:pPr>
        <w:spacing w:before="120" w:after="120" w:line="22" w:lineRule="atLeast"/>
        <w:ind w:firstLine="720"/>
        <w:jc w:val="both"/>
        <w:rPr>
          <w:sz w:val="28"/>
          <w:szCs w:val="28"/>
        </w:rPr>
      </w:pPr>
      <w:r w:rsidRPr="0087701E">
        <w:rPr>
          <w:sz w:val="28"/>
          <w:szCs w:val="28"/>
        </w:rPr>
        <w:t>Xung đột phân cấp: Có sự chưa thống nhất giữa Thông tư 01/2026/TT-BCT và Thông tư 26/2026/TT-BCT. Cụ thể, thẩm quyền cấp phép xuất/nhập khẩu hóa chất cần kiểm soát đặc biệt Nhóm 1 và Nhóm 2 đã được giao cho UBND cấp tỉnh; tuy nhiên, thẩm quyền cấp phép sản xuất/kinh doanh hóa chất Nhóm 1 vẫn do Trung ương (Cục Hóa chất) thực hiện. Sự thiếu đồng bộ đối với cùng một nhóm hóa chất gây lúng túng trong quản lý tại địa phương.</w:t>
      </w:r>
    </w:p>
    <w:p w14:paraId="1DD3A1EB" w14:textId="04DBF69C" w:rsidR="0087701E" w:rsidRPr="0087701E" w:rsidRDefault="0087701E" w:rsidP="0087701E">
      <w:pPr>
        <w:spacing w:before="120" w:after="120" w:line="22" w:lineRule="atLeast"/>
        <w:ind w:firstLine="720"/>
        <w:jc w:val="both"/>
        <w:rPr>
          <w:sz w:val="28"/>
          <w:szCs w:val="28"/>
        </w:rPr>
      </w:pPr>
      <w:r w:rsidRPr="0087701E">
        <w:rPr>
          <w:sz w:val="28"/>
          <w:szCs w:val="28"/>
        </w:rPr>
        <w:t>Vướng mắc về thẩm quyền ban hành Quy chuẩn: Bộ Xây dựng phản ánh việc khoản 3 Điều 3 Nghị định 26</w:t>
      </w:r>
      <w:r w:rsidR="00691F58">
        <w:rPr>
          <w:sz w:val="28"/>
          <w:szCs w:val="28"/>
        </w:rPr>
        <w:t>/2026/NĐ-CP</w:t>
      </w:r>
      <w:r w:rsidRPr="0087701E">
        <w:rPr>
          <w:sz w:val="28"/>
          <w:szCs w:val="28"/>
        </w:rPr>
        <w:t xml:space="preserve"> giao Bộ này ban hành quy chuẩn kỹ thuật về "vận chuyển hóa chất nguy hiểm" là chưa phù hợp thực tế và trái thẩm quyền, do lĩnh vực này thuộc chức năng của Bộ Công Thương và Bộ Giao thông Vận tải.</w:t>
      </w:r>
    </w:p>
    <w:p w14:paraId="5AF77722" w14:textId="77777777" w:rsidR="0087701E" w:rsidRPr="0087701E" w:rsidRDefault="0087701E" w:rsidP="0087701E">
      <w:pPr>
        <w:spacing w:before="120" w:after="120" w:line="22" w:lineRule="atLeast"/>
        <w:ind w:firstLine="720"/>
        <w:jc w:val="both"/>
        <w:rPr>
          <w:sz w:val="28"/>
          <w:szCs w:val="28"/>
        </w:rPr>
      </w:pPr>
      <w:r w:rsidRPr="0087701E">
        <w:rPr>
          <w:sz w:val="28"/>
          <w:szCs w:val="28"/>
        </w:rPr>
        <w:t>Khoảng trống về Quy chuẩn khoảng cách an toàn: Việc đánh giá, thẩm định và cấp phép hiện đang gặp khó khăn do chưa có Quy chuẩn kỹ thuật quốc gia hướng dẫn cụ thể về việc xác định "khoảng cách an toàn hóa chất".</w:t>
      </w:r>
    </w:p>
    <w:p w14:paraId="62A2271F" w14:textId="77777777" w:rsidR="0087701E" w:rsidRPr="0087701E" w:rsidRDefault="0087701E" w:rsidP="0087701E">
      <w:pPr>
        <w:spacing w:before="120" w:after="120" w:line="22" w:lineRule="atLeast"/>
        <w:ind w:firstLine="720"/>
        <w:jc w:val="both"/>
        <w:rPr>
          <w:sz w:val="28"/>
          <w:szCs w:val="28"/>
        </w:rPr>
      </w:pPr>
      <w:r w:rsidRPr="0087701E">
        <w:rPr>
          <w:sz w:val="28"/>
          <w:szCs w:val="28"/>
        </w:rPr>
        <w:t>1.5. Khoảng trống pháp lý trong kiểm tra, giám sát và chuyên môn</w:t>
      </w:r>
    </w:p>
    <w:p w14:paraId="01C3ACF4" w14:textId="77777777" w:rsidR="0087701E" w:rsidRPr="0087701E" w:rsidRDefault="0087701E" w:rsidP="0087701E">
      <w:pPr>
        <w:spacing w:before="120" w:after="120" w:line="22" w:lineRule="atLeast"/>
        <w:ind w:firstLine="720"/>
        <w:jc w:val="both"/>
        <w:rPr>
          <w:sz w:val="28"/>
          <w:szCs w:val="28"/>
        </w:rPr>
      </w:pPr>
      <w:r w:rsidRPr="0087701E">
        <w:rPr>
          <w:sz w:val="28"/>
          <w:szCs w:val="28"/>
        </w:rPr>
        <w:t>Chuẩn hóa chức danh nhân sự: Thanh tra Chính phủ chỉ ra sự mâu thuẫn khi quy định chung yêu cầu người phụ trách an toàn có "trình độ chuyên môn phù hợp", nhưng thành phần hồ sơ lại cứng nhắc yêu cầu "Bằng đại học/trung cấp chuyên ngành hóa học". Cách gọi này cũng chưa đồng bộ với thuật ngữ "Cử nhân" tại Nghị định 25/2026/NĐ-CP, gây khó định lượng và nhầm lẫn khi áp dụng.</w:t>
      </w:r>
    </w:p>
    <w:p w14:paraId="4ACEB434" w14:textId="77777777" w:rsidR="0087701E" w:rsidRPr="0087701E" w:rsidRDefault="0087701E" w:rsidP="0087701E">
      <w:pPr>
        <w:spacing w:before="120" w:after="120" w:line="22" w:lineRule="atLeast"/>
        <w:ind w:firstLine="720"/>
        <w:jc w:val="both"/>
        <w:rPr>
          <w:sz w:val="28"/>
          <w:szCs w:val="28"/>
        </w:rPr>
      </w:pPr>
      <w:r w:rsidRPr="0087701E">
        <w:rPr>
          <w:sz w:val="28"/>
          <w:szCs w:val="28"/>
        </w:rPr>
        <w:t>Xử lý sau thu hồi Giấy phép: Nghị định thiếu điều khoản bắt buộc tổ chức, cá nhân phải chấm dứt ngay hoạt động sản xuất, kinh doanh kể từ ngày nhận được Quyết định thu hồi Giấy phép, dẫn đến tình trạng doanh nghiệp vẫn tiếp tục hoạt động trái phép trong thời gian chờ đợi, gây khó khăn cho việc xử lý vi phạm.</w:t>
      </w:r>
    </w:p>
    <w:p w14:paraId="76E40522" w14:textId="77777777" w:rsidR="0087701E" w:rsidRPr="0087701E" w:rsidRDefault="0087701E" w:rsidP="0087701E">
      <w:pPr>
        <w:spacing w:before="120" w:after="120" w:line="22" w:lineRule="atLeast"/>
        <w:ind w:firstLine="720"/>
        <w:jc w:val="both"/>
        <w:rPr>
          <w:sz w:val="28"/>
          <w:szCs w:val="28"/>
        </w:rPr>
      </w:pPr>
      <w:r w:rsidRPr="0087701E">
        <w:rPr>
          <w:sz w:val="28"/>
          <w:szCs w:val="28"/>
        </w:rPr>
        <w:t>Chưa có nghị định xử phạt cập nhật: Quá trình hậu kiểm gặp rào cản do hiện vẫn chưa có Nghị định quy định xử phạt vi phạm hành chính mới để thay thế Nghị định số 71/2019/NĐ-CP nhằm phù hợp với các hành vi vi phạm theo Luật Hóa chất 2025</w:t>
      </w:r>
    </w:p>
    <w:p w14:paraId="330C72D1"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2. Về tổ chức thực hiện</w:t>
      </w:r>
    </w:p>
    <w:p w14:paraId="63D2C794" w14:textId="77777777" w:rsidR="00B13FB8" w:rsidRPr="00B13FB8" w:rsidRDefault="00B13FB8" w:rsidP="00B13FB8">
      <w:pPr>
        <w:spacing w:before="120" w:after="120" w:line="22" w:lineRule="atLeast"/>
        <w:ind w:firstLine="720"/>
        <w:jc w:val="both"/>
        <w:rPr>
          <w:sz w:val="28"/>
          <w:szCs w:val="28"/>
        </w:rPr>
      </w:pPr>
      <w:r w:rsidRPr="00B13FB8">
        <w:rPr>
          <w:sz w:val="28"/>
          <w:szCs w:val="28"/>
        </w:rPr>
        <w:lastRenderedPageBreak/>
        <w:t>Qua báo cáo của các Bộ, ngành, địa phương và doanh nghiệp, khâu tổ chức thực hiện Nghị định số 26/2026/NĐ-CP trong thực tiễn đang bộc lộ nhiều điểm nghẽn, gây lúng túng cho cả cơ quan quản lý nhà nước lẫn cộng đồng doanh nghiệp. Các vướng mắc tập trung vào gánh nặng thủ tục, sự bất hợp lý về thời hạn và khó khăn khi áp dụng vào các loại hình hoạt động đặc thù.</w:t>
      </w:r>
    </w:p>
    <w:p w14:paraId="283F74A0" w14:textId="77777777" w:rsidR="00B13FB8" w:rsidRPr="00B13FB8" w:rsidRDefault="00B13FB8" w:rsidP="00B13FB8">
      <w:pPr>
        <w:spacing w:before="120" w:after="120" w:line="22" w:lineRule="atLeast"/>
        <w:ind w:firstLine="720"/>
        <w:jc w:val="both"/>
        <w:rPr>
          <w:sz w:val="28"/>
          <w:szCs w:val="28"/>
        </w:rPr>
      </w:pPr>
      <w:r w:rsidRPr="00B13FB8">
        <w:rPr>
          <w:sz w:val="28"/>
          <w:szCs w:val="28"/>
        </w:rPr>
        <w:t>2.1. Gánh nặng từ các thủ tục, giấy tờ mang tính hình thức và yếu tố lịch sử</w:t>
      </w:r>
    </w:p>
    <w:p w14:paraId="2569DB45" w14:textId="700906BB" w:rsidR="00B13FB8" w:rsidRPr="00B13FB8" w:rsidRDefault="00B13FB8" w:rsidP="00B13FB8">
      <w:pPr>
        <w:spacing w:before="120" w:after="120" w:line="22" w:lineRule="atLeast"/>
        <w:ind w:firstLine="720"/>
        <w:jc w:val="both"/>
        <w:rPr>
          <w:sz w:val="28"/>
          <w:szCs w:val="28"/>
        </w:rPr>
      </w:pPr>
      <w:r w:rsidRPr="00B13FB8">
        <w:rPr>
          <w:sz w:val="28"/>
          <w:szCs w:val="28"/>
        </w:rPr>
        <w:t>Vướng mắc về nghiệm thu công trình xây dựng: Theo phản ánh của Tập đoàn Hóa chất Việt Nam (HCVN), yêu cầu phải có "Thông báo kết quả kiểm tra công tác nghiệm thu công trình" trong hồ sơ cấp phép đang gây bế tắc cho nhiều c</w:t>
      </w:r>
      <w:r w:rsidR="002F3F5F">
        <w:rPr>
          <w:sz w:val="28"/>
          <w:szCs w:val="28"/>
        </w:rPr>
        <w:t>ơ sở sản xuất có yếu tố lịch sử</w:t>
      </w:r>
      <w:r w:rsidRPr="00B13FB8">
        <w:rPr>
          <w:sz w:val="28"/>
          <w:szCs w:val="28"/>
        </w:rPr>
        <w:t>. Các cơ sở này được đầu tư xây dựng và đưa vào hoạt động từ trước khi Luật Xây dựng năm 2014 có hiệu lực, do đó không thể đáp ứng được thành phần hồ sơ này dù vẫn đang hoạt động ổn định và tuân thủ nghiêm ngặt các quy định về an toàn, phòng cháy chữa cháy.</w:t>
      </w:r>
    </w:p>
    <w:p w14:paraId="690DA1EF" w14:textId="77777777" w:rsidR="00B13FB8" w:rsidRPr="00B13FB8" w:rsidRDefault="00B13FB8" w:rsidP="00B13FB8">
      <w:pPr>
        <w:spacing w:before="120" w:after="120" w:line="22" w:lineRule="atLeast"/>
        <w:ind w:firstLine="720"/>
        <w:jc w:val="both"/>
        <w:rPr>
          <w:sz w:val="28"/>
          <w:szCs w:val="28"/>
        </w:rPr>
      </w:pPr>
      <w:r w:rsidRPr="00B13FB8">
        <w:rPr>
          <w:sz w:val="28"/>
          <w:szCs w:val="28"/>
        </w:rPr>
        <w:t>Gánh nặng lập Phiếu kiểm soát mua, bán hóa chất: Việc yêu cầu lập Phiếu kiểm soát mua bán hóa chất cần kiểm soát đặc biệt cho từng lần giao dịch tạo ra khối lượng công việc hành chính khổng lồ. Đối với các khách hàng thường xuyên, mua bán liên tục theo hợp đồng nguyên tắc, các thông tin gần như không thay đổi, làm tăng chi phí tuân thủ không cần thiết cho doanh nghiệp.</w:t>
      </w:r>
    </w:p>
    <w:p w14:paraId="4B0A2CAF" w14:textId="77777777" w:rsidR="00B13FB8" w:rsidRPr="00B13FB8" w:rsidRDefault="00B13FB8" w:rsidP="00B13FB8">
      <w:pPr>
        <w:spacing w:before="120" w:after="120" w:line="22" w:lineRule="atLeast"/>
        <w:ind w:firstLine="720"/>
        <w:jc w:val="both"/>
        <w:rPr>
          <w:sz w:val="28"/>
          <w:szCs w:val="28"/>
        </w:rPr>
      </w:pPr>
      <w:r w:rsidRPr="00B13FB8">
        <w:rPr>
          <w:sz w:val="28"/>
          <w:szCs w:val="28"/>
        </w:rPr>
        <w:t>2.2. Bất cập về thời hạn giải quyết thủ tục và thời hạn của giấy phép</w:t>
      </w:r>
    </w:p>
    <w:p w14:paraId="60610DC3" w14:textId="77777777" w:rsidR="00B13FB8" w:rsidRPr="00B13FB8" w:rsidRDefault="00B13FB8" w:rsidP="00B13FB8">
      <w:pPr>
        <w:spacing w:before="120" w:after="120" w:line="22" w:lineRule="atLeast"/>
        <w:ind w:firstLine="720"/>
        <w:jc w:val="both"/>
        <w:rPr>
          <w:sz w:val="28"/>
          <w:szCs w:val="28"/>
        </w:rPr>
      </w:pPr>
      <w:r w:rsidRPr="00B13FB8">
        <w:rPr>
          <w:sz w:val="28"/>
          <w:szCs w:val="28"/>
        </w:rPr>
        <w:t>Thời hạn Giấy phép xuất/nhập khẩu quá ngắn: Giấy phép xuất, nhập khẩu hóa chất cần kiểm soát đặc biệt chỉ có thời hạn 06 tháng là chưa phù hợp với các hợp đồng cung ứng nguyên liệu dài hạn và kế hoạch sản xuất năm của doanh nghiệp. Thậm chí, tỉnh Quảng Ngãi đánh giá thủ tục này là dư thừa và đề xuất bãi bỏ, do hàng hóa khi nhập/xuất đã được Cục Hải quan kiểm soát, còn tiền chất đã được Bộ Công an quản lý trực tiếp.</w:t>
      </w:r>
    </w:p>
    <w:p w14:paraId="0659EA07" w14:textId="3077CF03" w:rsidR="00B13FB8" w:rsidRPr="00B13FB8" w:rsidRDefault="00B13FB8" w:rsidP="00B13FB8">
      <w:pPr>
        <w:spacing w:before="120" w:after="120" w:line="22" w:lineRule="atLeast"/>
        <w:ind w:firstLine="720"/>
        <w:jc w:val="both"/>
        <w:rPr>
          <w:sz w:val="28"/>
          <w:szCs w:val="28"/>
        </w:rPr>
      </w:pPr>
      <w:r w:rsidRPr="00B13FB8">
        <w:rPr>
          <w:sz w:val="28"/>
          <w:szCs w:val="28"/>
        </w:rPr>
        <w:t>Quy định công bố mục đích sử dụng trước 30 ngày thiếu khả thi: Yêu cầu tổ chức, cá nhân phải công bố loại hóa chất và mục đích sử dụng trên Cơ sở dữ liệu chuyên ngành trước 30 ngày khi đưa vào sử dụng lần đầu (hoặc khi thay đổi mục đích) không phù hợp với thực tiễn. Trong sản xuất công nghiệp, các doanh nghiệp thường linh hoạt thay đổi đơn hàng, công thức hóa chất nên quy định này gây á</w:t>
      </w:r>
      <w:r w:rsidR="00B90DDB">
        <w:rPr>
          <w:sz w:val="28"/>
          <w:szCs w:val="28"/>
        </w:rPr>
        <w:t>ch tắc, chậm trễ chuỗi cung ứng</w:t>
      </w:r>
      <w:r w:rsidRPr="00B13FB8">
        <w:rPr>
          <w:sz w:val="28"/>
          <w:szCs w:val="28"/>
        </w:rPr>
        <w:t>. Đối với các phòng thí nghiệm, việc công bố này cũng chưa có hướng dẫn cụ thể, dẫn đến cách hiểu và thực hiện không thống nhất.</w:t>
      </w:r>
    </w:p>
    <w:p w14:paraId="4273CF82" w14:textId="77777777" w:rsidR="00B13FB8" w:rsidRPr="00B13FB8" w:rsidRDefault="00B13FB8" w:rsidP="00B13FB8">
      <w:pPr>
        <w:spacing w:before="120" w:after="120" w:line="22" w:lineRule="atLeast"/>
        <w:ind w:firstLine="720"/>
        <w:jc w:val="both"/>
        <w:rPr>
          <w:sz w:val="28"/>
          <w:szCs w:val="28"/>
        </w:rPr>
      </w:pPr>
      <w:r w:rsidRPr="00B13FB8">
        <w:rPr>
          <w:sz w:val="28"/>
          <w:szCs w:val="28"/>
        </w:rPr>
        <w:t>Bất cập trong thời gian lấy ý kiến cơ quan liên ngành: Tỉnh Hà Tĩnh chỉ ra rằng, đối với xuất khẩu tiền chất công nghiệp, quy định thời hạn 03 ngày làm việc để cơ quan cấp phép nhận ý kiến trả lời từ Bộ Công an là quá ngắn. Đồng thời, văn bản pháp luật chưa quy định rõ hướng xử lý nếu hết thời hạn mà Bộ Công an chưa có ý kiến trả lời, gây khó khăn cho cơ quan cấp phép trong việc giải quyết thủ tục đúng hạn,.</w:t>
      </w:r>
    </w:p>
    <w:p w14:paraId="6FEC7435" w14:textId="77777777" w:rsidR="00B13FB8" w:rsidRPr="00B13FB8" w:rsidRDefault="00B13FB8" w:rsidP="00B13FB8">
      <w:pPr>
        <w:spacing w:before="120" w:after="120" w:line="22" w:lineRule="atLeast"/>
        <w:ind w:firstLine="720"/>
        <w:jc w:val="both"/>
        <w:rPr>
          <w:sz w:val="28"/>
          <w:szCs w:val="28"/>
        </w:rPr>
      </w:pPr>
      <w:r w:rsidRPr="00B13FB8">
        <w:rPr>
          <w:sz w:val="28"/>
          <w:szCs w:val="28"/>
        </w:rPr>
        <w:t>2.3. Thiếu cơ chế linh hoạt cho các hoạt động đặc thù và quy mô nhỏ</w:t>
      </w:r>
    </w:p>
    <w:p w14:paraId="5D33081E" w14:textId="21FB0E71" w:rsidR="00B13FB8" w:rsidRPr="00B13FB8" w:rsidRDefault="00B13FB8" w:rsidP="00B13FB8">
      <w:pPr>
        <w:spacing w:before="120" w:after="120" w:line="22" w:lineRule="atLeast"/>
        <w:ind w:firstLine="720"/>
        <w:jc w:val="both"/>
        <w:rPr>
          <w:sz w:val="28"/>
          <w:szCs w:val="28"/>
        </w:rPr>
      </w:pPr>
      <w:r w:rsidRPr="00B13FB8">
        <w:rPr>
          <w:sz w:val="28"/>
          <w:szCs w:val="28"/>
        </w:rPr>
        <w:lastRenderedPageBreak/>
        <w:t>Ách tắc đối với hóa chất phòng thí nghiệm, R&amp;D: Các hóa chất phục vụ phân tích, thử nghiệm thường có khối lượng rất nhỏ (gram, miligram) nhưng có nhiều chủng loại. Việc bắt buộc các phòng thí nghiệm phải thực hiện đầy đủ các thủ tục như khai báo, công bố, lập phiếu kiểm soát như đối với các lô hàng công nghiệp lớn làm kéo dài thời gian mua bán, gây tình trạng khan hiếm cục bộ và ảnh hưởng trực</w:t>
      </w:r>
      <w:r w:rsidR="00904678">
        <w:rPr>
          <w:sz w:val="28"/>
          <w:szCs w:val="28"/>
        </w:rPr>
        <w:t xml:space="preserve"> tiếp đến hoạt động nghiên cứu, </w:t>
      </w:r>
      <w:r w:rsidR="00904678" w:rsidRPr="00904678">
        <w:rPr>
          <w:sz w:val="28"/>
          <w:szCs w:val="28"/>
        </w:rPr>
        <w:t>Tình trạng đứt gãy nguồn cung chất chuẩn, vật liệu chuẩn và thuốc thử diễn ra do thủ tục nhập khẩu bị đánh đồng với hóa chất công nghiệp khối lượng lớn, gây gián đoạn trực tiếp đến nhiệm vụ quan trắc và giám định môi trường (Bộ NNMT)</w:t>
      </w:r>
    </w:p>
    <w:p w14:paraId="09CB5246" w14:textId="115ED09D" w:rsidR="00B13FB8" w:rsidRPr="00B13FB8" w:rsidRDefault="00B13FB8" w:rsidP="00B13FB8">
      <w:pPr>
        <w:spacing w:before="120" w:after="120" w:line="22" w:lineRule="atLeast"/>
        <w:ind w:firstLine="720"/>
        <w:jc w:val="both"/>
        <w:rPr>
          <w:sz w:val="28"/>
          <w:szCs w:val="28"/>
        </w:rPr>
      </w:pPr>
      <w:r w:rsidRPr="00B13FB8">
        <w:rPr>
          <w:sz w:val="28"/>
          <w:szCs w:val="28"/>
        </w:rPr>
        <w:t>Khó khăn trong các ngành nghề đặc thù: Bộ Nội vụ phản ánh việc áp dụng các quy chuẩn an toàn hóa chất công nghiệp vào lĩnh vực lưu trữ là rất khiên cưỡng. Các Trung tâm Lưu trữ quốc gia chỉ sử dụng hóa chất với số lượng rất nhỏ để bảo quản, phục chế tài liệu, không lưu trữ dài ngày, do đó điều kiện cơ sở vật chất không thể đồng bộ như các nhà máy sản xuất hóa chất. Việc thiếu hướng dẫn áp dụng linh hoạt gây khó khăn cho đơn vị trong việc tuân thủ.</w:t>
      </w:r>
      <w:r w:rsidR="00904678">
        <w:rPr>
          <w:sz w:val="28"/>
          <w:szCs w:val="28"/>
        </w:rPr>
        <w:t xml:space="preserve"> </w:t>
      </w:r>
      <w:r w:rsidR="00904678" w:rsidRPr="00904678">
        <w:rPr>
          <w:sz w:val="28"/>
          <w:szCs w:val="28"/>
        </w:rPr>
        <w:t> Việc tích hợp các trường thông tin về hóa chất chuyên dùng quân sự vào hệ thống quốc gia dùng chung tiềm ẩn nguy cơ lộ lọt bí mật nhà nước và bí mật quân sự (Bộ QP).</w:t>
      </w:r>
    </w:p>
    <w:p w14:paraId="58200612" w14:textId="77777777" w:rsidR="00B13FB8" w:rsidRPr="00B13FB8" w:rsidRDefault="00B13FB8" w:rsidP="00B13FB8">
      <w:pPr>
        <w:spacing w:before="120" w:after="120" w:line="22" w:lineRule="atLeast"/>
        <w:ind w:firstLine="720"/>
        <w:jc w:val="both"/>
        <w:rPr>
          <w:sz w:val="28"/>
          <w:szCs w:val="28"/>
        </w:rPr>
      </w:pPr>
      <w:r w:rsidRPr="00B13FB8">
        <w:rPr>
          <w:sz w:val="28"/>
          <w:szCs w:val="28"/>
        </w:rPr>
        <w:t>2.4. Khoảng trống pháp lý trong quản lý, hậu kiểm</w:t>
      </w:r>
    </w:p>
    <w:p w14:paraId="5F95B4AF" w14:textId="77777777" w:rsidR="00B13FB8" w:rsidRPr="00B13FB8" w:rsidRDefault="00B13FB8" w:rsidP="00B13FB8">
      <w:pPr>
        <w:spacing w:before="120" w:after="120" w:line="22" w:lineRule="atLeast"/>
        <w:ind w:firstLine="720"/>
        <w:jc w:val="both"/>
        <w:rPr>
          <w:sz w:val="28"/>
          <w:szCs w:val="28"/>
        </w:rPr>
      </w:pPr>
      <w:r w:rsidRPr="00B13FB8">
        <w:rPr>
          <w:sz w:val="28"/>
          <w:szCs w:val="28"/>
        </w:rPr>
        <w:t>Xử lý sau khi thu hồi giấy phép: Thanh tra Chính phủ nhấn mạnh một lỗ hổng trong tổ chức thực hiện là Nghị định thiếu vắng quy định buộc tổ chức, cá nhân phải chấm dứt ngay hoạt động sản xuất, kinh doanh kể từ ngày nhận được Quyết định thu hồi Giấy phép. Điều này gây lúng túng cho cơ quan chức năng trong việc xử lý triệt để các cơ sở vi phạm.</w:t>
      </w:r>
    </w:p>
    <w:p w14:paraId="0D4176BE" w14:textId="3CF3324F" w:rsidR="00B13FB8" w:rsidRPr="00B13FB8" w:rsidRDefault="00B13FB8" w:rsidP="00B13FB8">
      <w:pPr>
        <w:spacing w:before="120" w:after="120" w:line="22" w:lineRule="atLeast"/>
        <w:ind w:firstLine="720"/>
        <w:jc w:val="both"/>
        <w:rPr>
          <w:sz w:val="28"/>
          <w:szCs w:val="28"/>
        </w:rPr>
      </w:pPr>
      <w:r w:rsidRPr="00B13FB8">
        <w:rPr>
          <w:sz w:val="28"/>
          <w:szCs w:val="28"/>
        </w:rPr>
        <w:t>Thiếu Quy chuẩn kỹ thuật làm căn cứ: Nhiều địa phương (như Ninh Bình, Hà Tĩnh) báo cáo việc thực thi các quy định về an toàn gặp khó khăn do chưa có Quy chuẩn kỹ thuật quốc gia quy định chi tiết về "khoảng cách an toàn hóa chất",</w:t>
      </w:r>
      <w:r w:rsidR="00DD0C33">
        <w:rPr>
          <w:sz w:val="28"/>
          <w:szCs w:val="28"/>
        </w:rPr>
        <w:t xml:space="preserve"> </w:t>
      </w:r>
      <w:r w:rsidR="00DD0C33" w:rsidRPr="00DD0C33">
        <w:rPr>
          <w:sz w:val="28"/>
          <w:szCs w:val="28"/>
        </w:rPr>
        <w:t>Các kho chứa hóa chất quốc phòng đã tồn tại từ trước gặp khó khăn lớn trong việc duy trì khoảng cách an toàn đến khu dân cư theo các quy chuẩn kỹ thuật mới ban hành (Bộ QP)</w:t>
      </w:r>
      <w:r w:rsidRPr="00B13FB8">
        <w:rPr>
          <w:sz w:val="28"/>
          <w:szCs w:val="28"/>
        </w:rPr>
        <w:t>.</w:t>
      </w:r>
    </w:p>
    <w:p w14:paraId="23751058" w14:textId="77777777" w:rsidR="00B13FB8" w:rsidRPr="00B13FB8" w:rsidRDefault="00B13FB8" w:rsidP="00B13FB8">
      <w:pPr>
        <w:spacing w:before="120" w:after="120" w:line="22" w:lineRule="atLeast"/>
        <w:ind w:firstLine="720"/>
        <w:jc w:val="both"/>
        <w:rPr>
          <w:sz w:val="28"/>
          <w:szCs w:val="28"/>
        </w:rPr>
      </w:pPr>
      <w:r w:rsidRPr="00B13FB8">
        <w:rPr>
          <w:sz w:val="28"/>
          <w:szCs w:val="28"/>
        </w:rPr>
        <w:t>Hiệu lực thi hành quá gấp: Việc Nghị định số 25/2026/NĐ-CP và Nghị định số 26/2026/NĐ-CP có hiệu lực thi hành ngay kể từ ngày ký ban hành (17/01/2026) đã khiến các doanh nghiệp và cơ quan quản lý địa phương rơi vào thế bị động, lúng túng, dễ xảy ra sai sót do không có thời gian chuyển tiếp để chuẩn bị các điều kiện tuân thủ</w:t>
      </w:r>
    </w:p>
    <w:p w14:paraId="73193996"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3. Về nhân lực</w:t>
      </w:r>
    </w:p>
    <w:p w14:paraId="6A846DF5" w14:textId="77777777" w:rsidR="0031156A" w:rsidRPr="0031156A" w:rsidRDefault="0031156A" w:rsidP="0031156A">
      <w:pPr>
        <w:spacing w:before="120" w:after="120" w:line="22" w:lineRule="atLeast"/>
        <w:ind w:firstLine="720"/>
        <w:jc w:val="both"/>
        <w:rPr>
          <w:sz w:val="28"/>
          <w:szCs w:val="28"/>
        </w:rPr>
      </w:pPr>
      <w:r w:rsidRPr="0031156A">
        <w:rPr>
          <w:sz w:val="28"/>
          <w:szCs w:val="28"/>
        </w:rPr>
        <w:t>Bên cạnh các vướng mắc về quy định pháp luật và tổ chức thực hiện, vấn đề nhân lực ở cả khu vực quản lý nhà nước và khu vực doanh nghiệp đang là một điểm nghẽn lớn, ảnh hưởng trực tiếp đến hiệu quả thi hành Nghị định số 26/2026/NĐ-CP:</w:t>
      </w:r>
    </w:p>
    <w:p w14:paraId="757B35E7" w14:textId="77777777" w:rsidR="0031156A" w:rsidRPr="0031156A" w:rsidRDefault="0031156A" w:rsidP="0031156A">
      <w:pPr>
        <w:spacing w:before="120" w:after="120" w:line="22" w:lineRule="atLeast"/>
        <w:ind w:firstLine="720"/>
        <w:jc w:val="both"/>
        <w:rPr>
          <w:sz w:val="28"/>
          <w:szCs w:val="28"/>
        </w:rPr>
      </w:pPr>
      <w:r w:rsidRPr="0031156A">
        <w:rPr>
          <w:sz w:val="28"/>
          <w:szCs w:val="28"/>
        </w:rPr>
        <w:t>3.1. Đối với cơ quan quản lý nhà nước</w:t>
      </w:r>
    </w:p>
    <w:p w14:paraId="12CFE052" w14:textId="77777777" w:rsidR="0031156A" w:rsidRPr="0031156A" w:rsidRDefault="0031156A" w:rsidP="0031156A">
      <w:pPr>
        <w:spacing w:before="120" w:after="120" w:line="22" w:lineRule="atLeast"/>
        <w:ind w:firstLine="720"/>
        <w:jc w:val="both"/>
        <w:rPr>
          <w:sz w:val="28"/>
          <w:szCs w:val="28"/>
        </w:rPr>
      </w:pPr>
      <w:r w:rsidRPr="0031156A">
        <w:rPr>
          <w:sz w:val="28"/>
          <w:szCs w:val="28"/>
        </w:rPr>
        <w:lastRenderedPageBreak/>
        <w:t>Lực lượng quản lý mỏng, chủ yếu là kiêm nhiệm: Đa số các địa phương (như Nghệ An, Tuyên Quang, Điện Biên, Lâm Đồng, Đắk Lắk, Quảng Trị, Lai Châu) đều báo cáo tình trạng đội ngũ công chức làm công tác quản lý hóa chất ở cơ sở còn rất mỏng, thường xuyên phải kiêm nhiệm nhiều lĩnh vực an toàn công nghiệp khác nhau. Thậm chí, như tại Quảng Trị, Sở Công Thương chỉ có 01 cán bộ phụ trách lĩnh vực này. Theo số liệu tổng hợp của Bộ Công Thương, trong tổng số cán bộ chuyên trách và kiêm nhiệm tại các Sở Công Thương trên cả nước, chỉ có 24 người có trình độ đại học hoặc sau đại học đúng chuyên ngành hóa chất. Bộ Xây dựng cũng nhận định nguồn lực cán bộ quản lý hóa chất hiện nay cơ bản còn mỏng so với tốc độ phát triển nhanh chóng của ngành.</w:t>
      </w:r>
    </w:p>
    <w:p w14:paraId="4BDD77F0" w14:textId="77777777" w:rsidR="0031156A" w:rsidRPr="0031156A" w:rsidRDefault="0031156A" w:rsidP="0031156A">
      <w:pPr>
        <w:spacing w:before="120" w:after="120" w:line="22" w:lineRule="atLeast"/>
        <w:ind w:firstLine="720"/>
        <w:jc w:val="both"/>
        <w:rPr>
          <w:sz w:val="28"/>
          <w:szCs w:val="28"/>
        </w:rPr>
      </w:pPr>
      <w:r w:rsidRPr="0031156A">
        <w:rPr>
          <w:sz w:val="28"/>
          <w:szCs w:val="28"/>
        </w:rPr>
        <w:t>Khó khăn, áp lực trong thẩm định chuyên sâu: Việc phân cấp, phân quyền mạnh mẽ làm gia tăng khối lượng công việc, nhưng do thiếu hụt cán bộ có chuyên môn sâu về kỹ thuật hóa học, các địa phương gặp nhiều khó khăn khi phải thẩm định các hồ sơ công nghệ phức tạp, đánh giá rủi ro, mô phỏng sự cố hoặc đi thanh tra, hậu kiểm thực tế. Tập đoàn Hóa chất Việt Nam phản ánh điều này dẫn đến tình trạng thời gian xử lý hồ sơ cho doanh nghiệp ở một số địa phương bị kéo dài.</w:t>
      </w:r>
    </w:p>
    <w:p w14:paraId="0A4F1D57" w14:textId="77777777" w:rsidR="0031156A" w:rsidRPr="0031156A" w:rsidRDefault="0031156A" w:rsidP="0031156A">
      <w:pPr>
        <w:spacing w:before="120" w:after="120" w:line="22" w:lineRule="atLeast"/>
        <w:ind w:firstLine="720"/>
        <w:jc w:val="both"/>
        <w:rPr>
          <w:sz w:val="28"/>
          <w:szCs w:val="28"/>
        </w:rPr>
      </w:pPr>
      <w:r w:rsidRPr="0031156A">
        <w:rPr>
          <w:sz w:val="28"/>
          <w:szCs w:val="28"/>
        </w:rPr>
        <w:t>3.2. Đối với doanh nghiệp và cơ sở hoạt động hóa chất</w:t>
      </w:r>
    </w:p>
    <w:p w14:paraId="18253C58" w14:textId="4323E495" w:rsidR="0031156A" w:rsidRPr="0031156A" w:rsidRDefault="0031156A" w:rsidP="0031156A">
      <w:pPr>
        <w:spacing w:before="120" w:after="120" w:line="22" w:lineRule="atLeast"/>
        <w:ind w:firstLine="720"/>
        <w:jc w:val="both"/>
        <w:rPr>
          <w:sz w:val="28"/>
          <w:szCs w:val="28"/>
        </w:rPr>
      </w:pPr>
      <w:r w:rsidRPr="0031156A">
        <w:rPr>
          <w:sz w:val="28"/>
          <w:szCs w:val="28"/>
        </w:rPr>
        <w:t>Sự thiếu đồng bộ và mâu thuẫn trong quy định chức danh nhân sự: Thanh tra Chính phủ chỉ ra sự thiếu rõ ràng và mâu thuẫn ngay trong nội tại Nghị định 26</w:t>
      </w:r>
      <w:r>
        <w:rPr>
          <w:sz w:val="28"/>
          <w:szCs w:val="28"/>
        </w:rPr>
        <w:t>/2026/NĐ-CP</w:t>
      </w:r>
      <w:r w:rsidRPr="0031156A">
        <w:rPr>
          <w:sz w:val="28"/>
          <w:szCs w:val="28"/>
        </w:rPr>
        <w:t>. Cụ thể, các điều khoản về điều kiện an toàn chung chỉ yêu cầu người phụ trách an toàn hóa chất có "trình</w:t>
      </w:r>
      <w:r>
        <w:rPr>
          <w:sz w:val="28"/>
          <w:szCs w:val="28"/>
        </w:rPr>
        <w:t xml:space="preserve"> độ chuyên môn phù hợp"</w:t>
      </w:r>
      <w:r w:rsidRPr="0031156A">
        <w:rPr>
          <w:sz w:val="28"/>
          <w:szCs w:val="28"/>
        </w:rPr>
        <w:t xml:space="preserve"> một tiêu chí rất chung chung và khó định lượng trên thực tế. Trong khi đó, tại phần quy định về hồ sơ cấp phép, văn bản lại cứng nhắc yêu cầu phải nộp "Bản sao Bằng đại học/trung cấp trở lên chuyên ngành hóa học". Thêm vào đó, cách gọi tên "Đại học/Trung cấp" tại Nghị định 26</w:t>
      </w:r>
      <w:r>
        <w:rPr>
          <w:sz w:val="28"/>
          <w:szCs w:val="28"/>
        </w:rPr>
        <w:t>/2026/NĐ-CP</w:t>
      </w:r>
      <w:r w:rsidRPr="0031156A">
        <w:rPr>
          <w:sz w:val="28"/>
          <w:szCs w:val="28"/>
        </w:rPr>
        <w:t xml:space="preserve"> lại chưa thống nhất với thuật ngữ "Cử nhân" được sử dụng tại Danh mục ngành đào tạo thuộc Phụ lục III Nghị định số 25/2026/NĐ-CP, gây lúng túng và nhầm lẫn cho doanh nghiệp khi xác định nhân sự hợp lệ.</w:t>
      </w:r>
    </w:p>
    <w:p w14:paraId="6788B61C" w14:textId="77777777" w:rsidR="0031156A" w:rsidRPr="0031156A" w:rsidRDefault="0031156A" w:rsidP="0031156A">
      <w:pPr>
        <w:spacing w:before="120" w:after="120" w:line="22" w:lineRule="atLeast"/>
        <w:ind w:firstLine="720"/>
        <w:jc w:val="both"/>
        <w:rPr>
          <w:sz w:val="28"/>
          <w:szCs w:val="28"/>
        </w:rPr>
      </w:pPr>
      <w:r w:rsidRPr="0031156A">
        <w:rPr>
          <w:sz w:val="28"/>
          <w:szCs w:val="28"/>
        </w:rPr>
        <w:t>Thách thức đối với doanh nghiệp nhỏ và các ngành đặc thù: Việc đáp ứng các yêu cầu khắt khe về nhân sự chuyên môn là một rào cản lớn đối với các doanh nghiệp nhỏ và vừa, khiến nhiều đơn vị chưa thể hoàn thiện hồ sơ cấp phép. Ngoài ra, ở những ngành đặc thù như lưu trữ tài liệu quốc gia của Bộ Nội vụ, dù chỉ sử dụng lượng nhỏ hóa chất, việc đòi hỏi phải có nguồn nhân lực chuyên sâu về quản lý an toàn hóa chất là rất khó khăn, đòi hỏi phải liên tục đào tạo bổ sung.</w:t>
      </w:r>
    </w:p>
    <w:p w14:paraId="02BF4E94" w14:textId="77777777" w:rsidR="0031156A" w:rsidRPr="0031156A" w:rsidRDefault="0031156A" w:rsidP="0031156A">
      <w:pPr>
        <w:spacing w:before="120" w:after="120" w:line="22" w:lineRule="atLeast"/>
        <w:ind w:firstLine="720"/>
        <w:jc w:val="both"/>
        <w:rPr>
          <w:sz w:val="28"/>
          <w:szCs w:val="28"/>
        </w:rPr>
      </w:pPr>
      <w:r w:rsidRPr="0031156A">
        <w:rPr>
          <w:sz w:val="28"/>
          <w:szCs w:val="28"/>
        </w:rPr>
        <w:t>Áp lực về chất lượng và chi phí đào tạo: Theo báo cáo của Tập đoàn Hóa chất Việt Nam, các quy định mới yêu cầu người phụ trách hóa chất không chỉ nắm vững kiến thức kỹ thuật, an toàn mà còn phải am hiểu sâu về quản lý rủi ro và cách thức ứng phó sự cố chuyên nghiệp. Yêu cầu này làm gia tăng nhu cầu đào tạo chuyên sâu và cập nhật kiến thức định kỳ, tạo thêm áp lực lớn về chi phí và thời gian cho các doanh nghiệp</w:t>
      </w:r>
    </w:p>
    <w:p w14:paraId="48256AB2"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4. Về cơ sở dữ liệu và công nghệ thông tin</w:t>
      </w:r>
    </w:p>
    <w:p w14:paraId="40AAAA33" w14:textId="77777777" w:rsidR="0031156A" w:rsidRPr="0031156A" w:rsidRDefault="0031156A" w:rsidP="0031156A">
      <w:pPr>
        <w:spacing w:before="120" w:after="120" w:line="22" w:lineRule="atLeast"/>
        <w:ind w:firstLine="720"/>
        <w:jc w:val="both"/>
        <w:rPr>
          <w:sz w:val="28"/>
          <w:szCs w:val="28"/>
        </w:rPr>
      </w:pPr>
      <w:r w:rsidRPr="0031156A">
        <w:rPr>
          <w:sz w:val="28"/>
          <w:szCs w:val="28"/>
        </w:rPr>
        <w:lastRenderedPageBreak/>
        <w:t>Mặc dù việc đẩy mạnh ứng dụng công nghệ thông tin và đưa vào vận hành Cơ sở dữ liệu hóa chất quốc gia được đánh giá là bước tiến lớn của Nghị định số 26/2026/NĐ-CP trong việc chuyển đổi phương thức quản lý sang "hậu kiểm", tuy nhiên, qua thực tiễn triển khai, đây lại chính là một trong những điểm nghẽn lớn nhất, phát sinh nhiều vướng mắc về mặt kỹ thuật, kết nối và phân quyền dữ liệu. Các khó khăn tập trung vào 4 nhóm vấn đề chính sau:</w:t>
      </w:r>
    </w:p>
    <w:p w14:paraId="6E505079" w14:textId="77777777" w:rsidR="0031156A" w:rsidRPr="0031156A" w:rsidRDefault="0031156A" w:rsidP="0031156A">
      <w:pPr>
        <w:spacing w:before="120" w:after="120" w:line="22" w:lineRule="atLeast"/>
        <w:ind w:firstLine="720"/>
        <w:jc w:val="both"/>
        <w:rPr>
          <w:sz w:val="28"/>
          <w:szCs w:val="28"/>
        </w:rPr>
      </w:pPr>
      <w:r w:rsidRPr="0031156A">
        <w:rPr>
          <w:sz w:val="28"/>
          <w:szCs w:val="28"/>
        </w:rPr>
        <w:t>4.1. Hệ thống Cơ sở dữ liệu chuyên ngành hóa chất quốc gia chưa hoàn thiện, thiếu ổn định</w:t>
      </w:r>
    </w:p>
    <w:p w14:paraId="1A2C2C05" w14:textId="77777777" w:rsidR="0031156A" w:rsidRPr="0031156A" w:rsidRDefault="0031156A" w:rsidP="0031156A">
      <w:pPr>
        <w:spacing w:before="120" w:after="120" w:line="22" w:lineRule="atLeast"/>
        <w:ind w:firstLine="720"/>
        <w:jc w:val="both"/>
        <w:rPr>
          <w:sz w:val="28"/>
          <w:szCs w:val="28"/>
        </w:rPr>
      </w:pPr>
      <w:r w:rsidRPr="0031156A">
        <w:rPr>
          <w:sz w:val="28"/>
          <w:szCs w:val="28"/>
        </w:rPr>
        <w:t>Trục trặc trong giai đoạn chuyển tiếp: Theo phản ánh của nhiều địa phương (Quảng Ninh, Lâm Đồng, Cà Mau, Đắk Lắk), do Nghị định số 26/2026/NĐ-CP bổ sung rất nhiều quy định và trường thông tin mới (như khai báo hóa chất nguy hiểm trong sản phẩm, công bố mục đích sử dụng hóa chất cần kiểm soát đặc biệt), hệ thống đang trong quá trình nâng cấp nên hoạt động thiếu đồng bộ, thiếu ổn định. Điều này gây khó khăn trực tiếp cho doanh nghiệp khi thực hiện nghĩa vụ khai báo và cho cơ quan nhà nước khi theo dõi, quản lý.</w:t>
      </w:r>
    </w:p>
    <w:p w14:paraId="2BA16B3F" w14:textId="77777777" w:rsidR="0031156A" w:rsidRPr="0031156A" w:rsidRDefault="0031156A" w:rsidP="0031156A">
      <w:pPr>
        <w:spacing w:before="120" w:after="120" w:line="22" w:lineRule="atLeast"/>
        <w:ind w:firstLine="720"/>
        <w:jc w:val="both"/>
        <w:rPr>
          <w:sz w:val="28"/>
          <w:szCs w:val="28"/>
        </w:rPr>
      </w:pPr>
      <w:r w:rsidRPr="0031156A">
        <w:rPr>
          <w:sz w:val="28"/>
          <w:szCs w:val="28"/>
        </w:rPr>
        <w:t>Hạn chế về các chức năng cơ bản: Một số chức năng thiết yếu chưa được hoàn thiện trên môi trường điện tử. Cụ thể, việc đăng ký tài khoản của tổ chức, doanh nghiệp chưa được tự động hóa hoàn toàn; hệ thống thiếu chức năng theo dõi tình trạng tiếp nhận, xử lý hồ sơ đăng ký tài khoản, gây tâm lý thụ động cho người dùng. Các chức năng chuyên sâu phục vụ đánh giá rủi ro và hỗ trợ lực lượng ứng phó sự cố hóa chất khẩn cấp vẫn chưa đáp ứng được nhu cầu thực tế.</w:t>
      </w:r>
    </w:p>
    <w:p w14:paraId="6A9C28E6" w14:textId="77777777" w:rsidR="0031156A" w:rsidRPr="0031156A" w:rsidRDefault="0031156A" w:rsidP="0031156A">
      <w:pPr>
        <w:spacing w:before="120" w:after="120" w:line="22" w:lineRule="atLeast"/>
        <w:ind w:firstLine="720"/>
        <w:jc w:val="both"/>
        <w:rPr>
          <w:sz w:val="28"/>
          <w:szCs w:val="28"/>
        </w:rPr>
      </w:pPr>
      <w:r w:rsidRPr="0031156A">
        <w:rPr>
          <w:sz w:val="28"/>
          <w:szCs w:val="28"/>
        </w:rPr>
        <w:t>4.2. Điểm nghẽn về phân quyền tra cứu và khai thác dữ liệu cho địa phương</w:t>
      </w:r>
    </w:p>
    <w:p w14:paraId="03D9F7AB" w14:textId="77777777" w:rsidR="0031156A" w:rsidRPr="0031156A" w:rsidRDefault="0031156A" w:rsidP="0031156A">
      <w:pPr>
        <w:spacing w:before="120" w:after="120" w:line="22" w:lineRule="atLeast"/>
        <w:ind w:firstLine="720"/>
        <w:jc w:val="both"/>
        <w:rPr>
          <w:sz w:val="28"/>
          <w:szCs w:val="28"/>
        </w:rPr>
      </w:pPr>
      <w:r w:rsidRPr="0031156A">
        <w:rPr>
          <w:sz w:val="28"/>
          <w:szCs w:val="28"/>
        </w:rPr>
        <w:t>Mặc dù Nghị định định hướng quản lý dựa trên dữ liệu, nhưng thực tế các địa phương đang bị "mù thông tin". Tỉnh Hà Tĩnh chỉ ra một bất cập lớn: Nghị định yêu cầu doanh nghiệp thực hiện nhiều tính năng khai báo mới trên hệ thống (khai báo nhập khẩu hóa chất có điều kiện theo Điều 6, công bố mục đích sử dụng hóa chất cần kiểm soát đặc biệt theo Điều 14, công bố hàm lượng hóa chất nguy hiểm theo Điều 29), nhưng Sở Công Thương các tỉnh lại không được cấp quyền tra cứu các trường thông tin mới này trên hệ thống.</w:t>
      </w:r>
    </w:p>
    <w:p w14:paraId="5BFF151D" w14:textId="77777777" w:rsidR="0031156A" w:rsidRPr="0031156A" w:rsidRDefault="0031156A" w:rsidP="0031156A">
      <w:pPr>
        <w:spacing w:before="120" w:after="120" w:line="22" w:lineRule="atLeast"/>
        <w:ind w:firstLine="720"/>
        <w:jc w:val="both"/>
        <w:rPr>
          <w:sz w:val="28"/>
          <w:szCs w:val="28"/>
        </w:rPr>
      </w:pPr>
      <w:r w:rsidRPr="0031156A">
        <w:rPr>
          <w:sz w:val="28"/>
          <w:szCs w:val="28"/>
        </w:rPr>
        <w:t>Việc thiếu công cụ tra cứu, xác thực và chia sẻ thông tin từ cấp Trung ương xuống địa phương khiến các Sở Công Thương không có cơ sở để tiếp nhận, xử lý hồ sơ, đối chiếu thông tin khi đi thanh tra, hậu kiểm, làm giảm đi hiệu quả của chủ trương phân cấp quản lý.</w:t>
      </w:r>
    </w:p>
    <w:p w14:paraId="3274F4AA" w14:textId="77777777" w:rsidR="003A4EB5" w:rsidRDefault="0031156A" w:rsidP="0031156A">
      <w:pPr>
        <w:spacing w:before="120" w:after="120" w:line="22" w:lineRule="atLeast"/>
        <w:ind w:firstLine="720"/>
        <w:jc w:val="both"/>
        <w:rPr>
          <w:sz w:val="28"/>
          <w:szCs w:val="28"/>
        </w:rPr>
      </w:pPr>
      <w:r w:rsidRPr="0031156A">
        <w:rPr>
          <w:sz w:val="28"/>
          <w:szCs w:val="28"/>
        </w:rPr>
        <w:t xml:space="preserve">4.3. Thiếu liên thông, kết nối dữ liệu liên ngành </w:t>
      </w:r>
    </w:p>
    <w:p w14:paraId="63D9EA00" w14:textId="4BDAFD5E" w:rsidR="0031156A" w:rsidRPr="0031156A" w:rsidRDefault="0031156A" w:rsidP="0031156A">
      <w:pPr>
        <w:spacing w:before="120" w:after="120" w:line="22" w:lineRule="atLeast"/>
        <w:ind w:firstLine="720"/>
        <w:jc w:val="both"/>
        <w:rPr>
          <w:sz w:val="28"/>
          <w:szCs w:val="28"/>
        </w:rPr>
      </w:pPr>
      <w:r w:rsidRPr="0031156A">
        <w:rPr>
          <w:sz w:val="28"/>
          <w:szCs w:val="28"/>
        </w:rPr>
        <w:t>Sự chia cắt dữ liệu giữa các Bộ, ngành đang tạo ra những rào cản lớn trong việc thực hiện dịch vụ công và kiểm soát chuỗi cung ứng:</w:t>
      </w:r>
    </w:p>
    <w:p w14:paraId="39F2F47E" w14:textId="77777777" w:rsidR="0031156A" w:rsidRPr="0031156A" w:rsidRDefault="0031156A" w:rsidP="0031156A">
      <w:pPr>
        <w:spacing w:before="120" w:after="120" w:line="22" w:lineRule="atLeast"/>
        <w:ind w:firstLine="720"/>
        <w:jc w:val="both"/>
        <w:rPr>
          <w:sz w:val="28"/>
          <w:szCs w:val="28"/>
        </w:rPr>
      </w:pPr>
      <w:r w:rsidRPr="0031156A">
        <w:rPr>
          <w:sz w:val="28"/>
          <w:szCs w:val="28"/>
        </w:rPr>
        <w:t>Ngành Hải quan: Bộ Tài chính (Tổng cục Hải quan) cho biết hệ thống Cổng thông tin một cửa quốc gia chưa hoàn thiện việc liên thông, chia sẻ dữ liệu giấy phép điện tử từ Bộ Công Thương. Hậu quả là vẫn cần sự can thiệp thủ công của nhân sự, gây ách tắc phát sinh tại cửa khẩu, làm kéo dài thời gian thông quan và tăng chi phí lưu giữ hàng hóa cho doanh nghiệp.</w:t>
      </w:r>
    </w:p>
    <w:p w14:paraId="389A4E3B" w14:textId="77777777" w:rsidR="0031156A" w:rsidRPr="0031156A" w:rsidRDefault="0031156A" w:rsidP="0031156A">
      <w:pPr>
        <w:spacing w:before="120" w:after="120" w:line="22" w:lineRule="atLeast"/>
        <w:ind w:firstLine="720"/>
        <w:jc w:val="both"/>
        <w:rPr>
          <w:sz w:val="28"/>
          <w:szCs w:val="28"/>
        </w:rPr>
      </w:pPr>
      <w:r w:rsidRPr="0031156A">
        <w:rPr>
          <w:sz w:val="28"/>
          <w:szCs w:val="28"/>
        </w:rPr>
        <w:lastRenderedPageBreak/>
        <w:t>Ngành Công an: Theo báo cáo của thành phố Đà Nẵng, phần mềm một cửa giải quyết thủ tục hành chính tại địa phương thường xuyên bị lỗi, nghẽn mạng do hệ thống máy chủ chưa tối ưu hóa việc tích hợp đăng nhập qua tài khoản định danh điện tử VNeID của Bộ Công an, khiến cán bộ và doanh nghiệp không thể thao tác.</w:t>
      </w:r>
    </w:p>
    <w:p w14:paraId="12B7F9B7" w14:textId="77777777" w:rsidR="0031156A" w:rsidRPr="0031156A" w:rsidRDefault="0031156A" w:rsidP="0031156A">
      <w:pPr>
        <w:spacing w:before="120" w:after="120" w:line="22" w:lineRule="atLeast"/>
        <w:ind w:firstLine="720"/>
        <w:jc w:val="both"/>
        <w:rPr>
          <w:sz w:val="28"/>
          <w:szCs w:val="28"/>
        </w:rPr>
      </w:pPr>
      <w:r w:rsidRPr="0031156A">
        <w:rPr>
          <w:sz w:val="28"/>
          <w:szCs w:val="28"/>
        </w:rPr>
        <w:t>Ngành Thương mại điện tử và các Bộ chuyên ngành: Cục Thương mại điện tử và Kinh tế số kiến nghị thiếu cơ chế chia sẻ danh mục hóa chất cấm/có điều kiện trên hệ thống điện tử để các nền tảng bán hàng online có thể tự động kiểm soát người bán. Bộ Xây dựng và Bộ Văn hóa, Thể thao và Du lịch cũng nhấn mạnh sự chưa đồng bộ trong việc kết nối dữ liệu giữa các bộ (Công Thương, Nông nghiệp, Y tế, Xây dựng), dẫn đến không hình thành được một cơ sở dữ liệu thống nhất để quản lý vòng đời hóa chất.</w:t>
      </w:r>
    </w:p>
    <w:p w14:paraId="36F39183" w14:textId="77777777" w:rsidR="0031156A" w:rsidRPr="0031156A" w:rsidRDefault="0031156A" w:rsidP="0031156A">
      <w:pPr>
        <w:spacing w:before="120" w:after="120" w:line="22" w:lineRule="atLeast"/>
        <w:ind w:firstLine="720"/>
        <w:jc w:val="both"/>
        <w:rPr>
          <w:sz w:val="28"/>
          <w:szCs w:val="28"/>
        </w:rPr>
      </w:pPr>
      <w:r w:rsidRPr="0031156A">
        <w:rPr>
          <w:sz w:val="28"/>
          <w:szCs w:val="28"/>
        </w:rPr>
        <w:t>4.4. Rào cản về hạ tầng kỹ thuật và chi phí đối với doanh nghiệp, địa phương</w:t>
      </w:r>
    </w:p>
    <w:p w14:paraId="392212A0" w14:textId="77777777" w:rsidR="0031156A" w:rsidRPr="0031156A" w:rsidRDefault="0031156A" w:rsidP="0031156A">
      <w:pPr>
        <w:spacing w:before="120" w:after="120" w:line="22" w:lineRule="atLeast"/>
        <w:ind w:firstLine="720"/>
        <w:jc w:val="both"/>
        <w:rPr>
          <w:sz w:val="28"/>
          <w:szCs w:val="28"/>
        </w:rPr>
      </w:pPr>
      <w:r w:rsidRPr="0031156A">
        <w:rPr>
          <w:sz w:val="28"/>
          <w:szCs w:val="28"/>
        </w:rPr>
        <w:t>Áp lực tài chính đối với doanh nghiệp: Việc chuyển đổi từ phương thức quản lý hồ sơ giấy sang môi trường điện tử đòi hỏi doanh nghiệp phải đầu tư lớn về nguồn lực, phần mềm và nhân sự công nghệ thông tin. Tập đoàn Hóa chất Việt Nam (HCVN) và Bộ Văn hóa, Thể thao và Du lịch nhận định các yêu cầu mới của Nghị định làm gia tăng chi phí đầu tư ban đầu và chi phí vận hành cho việc số hóa dữ liệu, đây là rào cản rất lớn, đặc biệt đối với các doanh nghiệp vừa và nhỏ.</w:t>
      </w:r>
    </w:p>
    <w:p w14:paraId="6B315B44" w14:textId="77777777" w:rsidR="0031156A" w:rsidRPr="0031156A" w:rsidRDefault="0031156A" w:rsidP="0031156A">
      <w:pPr>
        <w:spacing w:before="120" w:after="120" w:line="22" w:lineRule="atLeast"/>
        <w:ind w:firstLine="720"/>
        <w:jc w:val="both"/>
        <w:rPr>
          <w:sz w:val="28"/>
          <w:szCs w:val="28"/>
        </w:rPr>
      </w:pPr>
      <w:r w:rsidRPr="0031156A">
        <w:rPr>
          <w:sz w:val="28"/>
          <w:szCs w:val="28"/>
        </w:rPr>
        <w:t>Hạn chế hạ tầng tại cơ sở: Hệ thống hạ tầng phần cứng, phần mềm hỗ trợ tổng hợp, phân tích dữ liệu chuyên sâu tại nhiều cơ quan quản lý ở địa phương còn rất hạn chế, lạc hậu, thiếu nguồn kinh phí đầu tư nâng cấp để đáp ứng tốc độ chuyển đổi số toàn diện theo yêu cầu của Nghị định. Cơ quan quản lý tại cơ sở chưa được trang bị đủ công cụ công nghệ để có thể kiểm soát và truy xuất nguồn gốc hóa chất trên không gian mạng và trong thực tiễn</w:t>
      </w:r>
    </w:p>
    <w:p w14:paraId="2FF3DAB1"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5. Về thủ tục hành chính</w:t>
      </w:r>
    </w:p>
    <w:p w14:paraId="6F21CD6A" w14:textId="77777777" w:rsidR="003A4EB5" w:rsidRPr="003A4EB5" w:rsidRDefault="003A4EB5" w:rsidP="003A4EB5">
      <w:pPr>
        <w:spacing w:before="120" w:after="120" w:line="22" w:lineRule="atLeast"/>
        <w:ind w:firstLine="720"/>
        <w:jc w:val="both"/>
        <w:rPr>
          <w:sz w:val="28"/>
          <w:szCs w:val="28"/>
        </w:rPr>
      </w:pPr>
      <w:r w:rsidRPr="003A4EB5">
        <w:rPr>
          <w:sz w:val="28"/>
          <w:szCs w:val="28"/>
        </w:rPr>
        <w:t>Mặc dù có nhiều cải cách, các thủ tục hành chính hiện hành vẫn tồn tại một số rào cản lớn:</w:t>
      </w:r>
    </w:p>
    <w:p w14:paraId="7ED2411B" w14:textId="14757D6C" w:rsidR="003A4EB5" w:rsidRPr="003A4EB5" w:rsidRDefault="003A4EB5" w:rsidP="003A4EB5">
      <w:pPr>
        <w:spacing w:before="120" w:after="120" w:line="22" w:lineRule="atLeast"/>
        <w:ind w:firstLine="720"/>
        <w:jc w:val="both"/>
        <w:rPr>
          <w:sz w:val="28"/>
          <w:szCs w:val="28"/>
        </w:rPr>
      </w:pPr>
      <w:r w:rsidRPr="003A4EB5">
        <w:rPr>
          <w:sz w:val="28"/>
          <w:szCs w:val="28"/>
        </w:rPr>
        <w:t>Gánh nặng từ các thành phần hồ sơ giấy dư thừa: Dù đã đẩy mạnh số hóa, Nghị định vẫn yêu cầu doanh nghiệp nộp bản giấy Phiếu an toàn hóa chất (MSDS) và Thông báo kết quả kiểm tra công tác nghiệm thu công trình xây dựng trong hồ sơ cấp phép,,. Việc này gây lãng phí chi phí in ấn, lưu trữ do dữ liệu đ</w:t>
      </w:r>
      <w:r>
        <w:rPr>
          <w:sz w:val="28"/>
          <w:szCs w:val="28"/>
        </w:rPr>
        <w:t>ã có sẵn trên hệ thống quốc gia</w:t>
      </w:r>
      <w:r w:rsidRPr="003A4EB5">
        <w:rPr>
          <w:sz w:val="28"/>
          <w:szCs w:val="28"/>
        </w:rPr>
        <w:t xml:space="preserve">. </w:t>
      </w:r>
    </w:p>
    <w:p w14:paraId="6318B4B3" w14:textId="77777777" w:rsidR="003A4EB5" w:rsidRPr="003A4EB5" w:rsidRDefault="003A4EB5" w:rsidP="003A4EB5">
      <w:pPr>
        <w:spacing w:before="120" w:after="120" w:line="22" w:lineRule="atLeast"/>
        <w:ind w:firstLine="720"/>
        <w:jc w:val="both"/>
        <w:rPr>
          <w:sz w:val="28"/>
          <w:szCs w:val="28"/>
        </w:rPr>
      </w:pPr>
      <w:r w:rsidRPr="003A4EB5">
        <w:rPr>
          <w:sz w:val="28"/>
          <w:szCs w:val="28"/>
        </w:rPr>
        <w:t>Bất cập về thời hạn giải quyết và thời hạn giấy phép:</w:t>
      </w:r>
    </w:p>
    <w:p w14:paraId="45D915A9" w14:textId="77777777" w:rsidR="003A4EB5" w:rsidRPr="003A4EB5" w:rsidRDefault="003A4EB5" w:rsidP="003A4EB5">
      <w:pPr>
        <w:spacing w:before="120" w:after="120" w:line="22" w:lineRule="atLeast"/>
        <w:ind w:firstLine="720"/>
        <w:jc w:val="both"/>
        <w:rPr>
          <w:sz w:val="28"/>
          <w:szCs w:val="28"/>
        </w:rPr>
      </w:pPr>
      <w:r w:rsidRPr="003A4EB5">
        <w:rPr>
          <w:sz w:val="28"/>
          <w:szCs w:val="28"/>
        </w:rPr>
        <w:t>Thời hạn thẩm định đăng ký hóa chất mới lên tới 90 ngày làm việc được đánh giá là quá dài, làm chậm tiến độ đưa sản phẩm vào thị trường và giảm năng lực cạnh tranh của doanh nghiệp,.</w:t>
      </w:r>
    </w:p>
    <w:p w14:paraId="3420DE0B" w14:textId="77777777" w:rsidR="003A4EB5" w:rsidRPr="003A4EB5" w:rsidRDefault="003A4EB5" w:rsidP="003A4EB5">
      <w:pPr>
        <w:spacing w:before="120" w:after="120" w:line="22" w:lineRule="atLeast"/>
        <w:ind w:firstLine="720"/>
        <w:jc w:val="both"/>
        <w:rPr>
          <w:sz w:val="28"/>
          <w:szCs w:val="28"/>
        </w:rPr>
      </w:pPr>
      <w:r w:rsidRPr="003A4EB5">
        <w:rPr>
          <w:sz w:val="28"/>
          <w:szCs w:val="28"/>
        </w:rPr>
        <w:t xml:space="preserve">Yêu cầu phải công bố mục đích sử dụng trước 30 ngày khi đưa hóa chất cần kiểm soát đặc biệt vào sử dụng lần đầu là thiếu linh hoạt, gây ách tắc, gián </w:t>
      </w:r>
      <w:r w:rsidRPr="003A4EB5">
        <w:rPr>
          <w:sz w:val="28"/>
          <w:szCs w:val="28"/>
        </w:rPr>
        <w:lastRenderedPageBreak/>
        <w:t>đoạn sản xuất trong trường hợp doanh nghiệp cần thay đổi chủng loại hóa chất đột xuất theo đơn hàng,.</w:t>
      </w:r>
    </w:p>
    <w:p w14:paraId="6BF32A2E" w14:textId="77777777" w:rsidR="003A4EB5" w:rsidRPr="003A4EB5" w:rsidRDefault="003A4EB5" w:rsidP="003A4EB5">
      <w:pPr>
        <w:spacing w:before="120" w:after="120" w:line="22" w:lineRule="atLeast"/>
        <w:ind w:firstLine="720"/>
        <w:jc w:val="both"/>
        <w:rPr>
          <w:sz w:val="28"/>
          <w:szCs w:val="28"/>
        </w:rPr>
      </w:pPr>
      <w:r w:rsidRPr="003A4EB5">
        <w:rPr>
          <w:sz w:val="28"/>
          <w:szCs w:val="28"/>
        </w:rPr>
        <w:t>Giấy phép xuất khẩu, nhập khẩu hóa chất cần kiểm soát đặc biệt chỉ có thời hạn 06 tháng, chưa phù hợp với các hợp đồng cung ứng dài hạn và kế hoạch sản xuất năm. Thậm chí, một số địa phương (như Quảng Ngãi) đề xuất bãi bỏ hoàn toàn giấy phép này vì hàng hóa khi xuất/nhập đã được Cơ quan Hải quan kiểm soát và tiền chất đã do Bộ Công an quản lý trực tiếp.</w:t>
      </w:r>
    </w:p>
    <w:p w14:paraId="6AA60CE9" w14:textId="4FF3A8B1" w:rsidR="003A4EB5" w:rsidRPr="003A4EB5" w:rsidRDefault="003A4EB5" w:rsidP="003A4EB5">
      <w:pPr>
        <w:spacing w:before="120" w:after="120" w:line="22" w:lineRule="atLeast"/>
        <w:ind w:firstLine="720"/>
        <w:jc w:val="both"/>
        <w:rPr>
          <w:sz w:val="28"/>
          <w:szCs w:val="28"/>
        </w:rPr>
      </w:pPr>
      <w:r w:rsidRPr="003A4EB5">
        <w:rPr>
          <w:sz w:val="28"/>
          <w:szCs w:val="28"/>
        </w:rPr>
        <w:t>Vướng mắc trong thủ tục cấp lại Giấy phép/Giấy chứng nhận: Việc yêu cầu thực hiện thủ tục cấp lại khi chỉ thay đổi thông tin đăng ký thành lập tổ chức (như tên, mã số thuế, người đại diện...) mà không thay đổi địa điểm, quy mô hoạt động làm phát sinh thủ</w:t>
      </w:r>
      <w:r>
        <w:rPr>
          <w:sz w:val="28"/>
          <w:szCs w:val="28"/>
        </w:rPr>
        <w:t xml:space="preserve"> tục hành chính không cần thiết</w:t>
      </w:r>
      <w:r w:rsidRPr="003A4EB5">
        <w:rPr>
          <w:sz w:val="28"/>
          <w:szCs w:val="28"/>
        </w:rPr>
        <w:t>.</w:t>
      </w:r>
    </w:p>
    <w:p w14:paraId="7F4A3D8D" w14:textId="77777777" w:rsidR="003A4EB5" w:rsidRPr="003A4EB5" w:rsidRDefault="003A4EB5" w:rsidP="003A4EB5">
      <w:pPr>
        <w:spacing w:before="120" w:after="120" w:line="22" w:lineRule="atLeast"/>
        <w:ind w:firstLine="720"/>
        <w:jc w:val="both"/>
        <w:rPr>
          <w:sz w:val="28"/>
          <w:szCs w:val="28"/>
        </w:rPr>
      </w:pPr>
      <w:r w:rsidRPr="003A4EB5">
        <w:rPr>
          <w:sz w:val="28"/>
          <w:szCs w:val="28"/>
        </w:rPr>
        <w:t>Áp lực từ việc lập Phiếu kiểm soát mua bán hóa chất: Việc yêu cầu lập Phiếu kiểm soát cho từng lần giao dịch đối với hóa chất cần kiểm soát đặc biệt gây ra khối lượng công việc hành chính khổng lồ. Đặc biệt đối với các khách hàng thường xuyên, mua bán liên tục theo hợp đồng nguyên tắc thì các thông tin gần như không đổi. Doanh nghiệp kiến nghị cần có cơ chế cho phép lập phiếu theo hợp đồng khung thay vì từng chuyến hàng.</w:t>
      </w:r>
    </w:p>
    <w:p w14:paraId="5E28548A" w14:textId="77777777" w:rsidR="003A4EB5" w:rsidRPr="003A4EB5" w:rsidRDefault="003A4EB5" w:rsidP="003A4EB5">
      <w:pPr>
        <w:spacing w:before="120" w:after="120" w:line="22" w:lineRule="atLeast"/>
        <w:ind w:firstLine="720"/>
        <w:jc w:val="both"/>
        <w:rPr>
          <w:sz w:val="28"/>
          <w:szCs w:val="28"/>
        </w:rPr>
      </w:pPr>
      <w:r w:rsidRPr="003A4EB5">
        <w:rPr>
          <w:sz w:val="28"/>
          <w:szCs w:val="28"/>
        </w:rPr>
        <w:t>Bất cập về ngưỡng miễn trừ thủ tục:</w:t>
      </w:r>
    </w:p>
    <w:p w14:paraId="4C4017F6" w14:textId="77777777" w:rsidR="003A4EB5" w:rsidRPr="003A4EB5" w:rsidRDefault="003A4EB5" w:rsidP="003A4EB5">
      <w:pPr>
        <w:spacing w:before="120" w:after="120" w:line="22" w:lineRule="atLeast"/>
        <w:ind w:firstLine="720"/>
        <w:jc w:val="both"/>
        <w:rPr>
          <w:sz w:val="28"/>
          <w:szCs w:val="28"/>
        </w:rPr>
      </w:pPr>
      <w:r w:rsidRPr="003A4EB5">
        <w:rPr>
          <w:sz w:val="28"/>
          <w:szCs w:val="28"/>
        </w:rPr>
        <w:t>Ngưỡng miễn trừ cấp phép đối với hỗn hợp chất có hàm lượng hóa chất kiểm soát &lt; 0,1% là quá khắt khe, không sát thực tiễn, tạo áp lực TTHC lớn cho các sản phẩm có rủi ro rất thấp,.</w:t>
      </w:r>
    </w:p>
    <w:p w14:paraId="51E40C70" w14:textId="77777777" w:rsidR="003A4EB5" w:rsidRPr="003A4EB5" w:rsidRDefault="003A4EB5" w:rsidP="003A4EB5">
      <w:pPr>
        <w:spacing w:before="120" w:after="120" w:line="22" w:lineRule="atLeast"/>
        <w:ind w:firstLine="720"/>
        <w:jc w:val="both"/>
        <w:rPr>
          <w:sz w:val="28"/>
          <w:szCs w:val="28"/>
        </w:rPr>
      </w:pPr>
      <w:r w:rsidRPr="003A4EB5">
        <w:rPr>
          <w:sz w:val="28"/>
          <w:szCs w:val="28"/>
        </w:rPr>
        <w:t>Việc miễn khai báo nhập khẩu đối với "dưới 10 kg hóa chất" chưa quy định rõ là tính theo từng loại hóa chất, từng tờ khai hải quan, hay tổng khối lượng lô hàng, dẫn đến áp dụng không thống nhất tại cơ quan Hải quan,,.</w:t>
      </w:r>
    </w:p>
    <w:p w14:paraId="34BDF6E3" w14:textId="77777777" w:rsidR="003A4EB5" w:rsidRPr="003A4EB5" w:rsidRDefault="003A4EB5" w:rsidP="003A4EB5">
      <w:pPr>
        <w:spacing w:before="120" w:after="120" w:line="22" w:lineRule="atLeast"/>
        <w:ind w:firstLine="720"/>
        <w:jc w:val="both"/>
        <w:rPr>
          <w:sz w:val="28"/>
          <w:szCs w:val="28"/>
        </w:rPr>
      </w:pPr>
      <w:r w:rsidRPr="003A4EB5">
        <w:rPr>
          <w:sz w:val="28"/>
          <w:szCs w:val="28"/>
        </w:rPr>
        <w:t>Thiếu tiêu chí, phạm vi áp dụng miễn trừ thủ tục đối với các sản phẩm thông dụng (dầu nhớt, nước làm mát, sơn, chất tẩy rửa) được sử dụng phổ biến tại các cơ sở kinh doanh, sửa chữa</w:t>
      </w:r>
    </w:p>
    <w:p w14:paraId="3CC31254"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6. Về phối hợp liên ngành</w:t>
      </w:r>
    </w:p>
    <w:p w14:paraId="3FB9230F" w14:textId="77777777" w:rsidR="003A4EB5" w:rsidRPr="003A4EB5" w:rsidRDefault="003A4EB5" w:rsidP="003A4EB5">
      <w:pPr>
        <w:spacing w:before="120" w:after="120" w:line="22" w:lineRule="atLeast"/>
        <w:ind w:firstLine="720"/>
        <w:jc w:val="both"/>
        <w:rPr>
          <w:sz w:val="28"/>
          <w:szCs w:val="28"/>
        </w:rPr>
      </w:pPr>
      <w:r w:rsidRPr="003A4EB5">
        <w:rPr>
          <w:sz w:val="28"/>
          <w:szCs w:val="28"/>
        </w:rPr>
        <w:t>Nghị định số 26/2026/NĐ-CP đã phân định rõ trách nhiệm của từng Bộ, ngành trong việc quản lý hóa chất theo vòng đời và lĩnh vực. Tuy nhiên, khi đi vào thực tiễn, sự phối hợp liên ngành lại bộc lộ nhiều rào cản, chủ yếu xuất phát từ sự chồng chéo, giao thoa giữa các luật chuyên ngành và sự thiếu đồng bộ trong cơ chế chia sẻ thông tin, cụ thể như sau:</w:t>
      </w:r>
    </w:p>
    <w:p w14:paraId="708AA45A" w14:textId="77777777" w:rsidR="00A53FE2" w:rsidRDefault="003A4EB5" w:rsidP="003A4EB5">
      <w:pPr>
        <w:spacing w:before="120" w:after="120" w:line="22" w:lineRule="atLeast"/>
        <w:ind w:firstLine="720"/>
        <w:jc w:val="both"/>
        <w:rPr>
          <w:sz w:val="28"/>
          <w:szCs w:val="28"/>
        </w:rPr>
      </w:pPr>
      <w:r w:rsidRPr="003A4EB5">
        <w:rPr>
          <w:sz w:val="28"/>
          <w:szCs w:val="28"/>
        </w:rPr>
        <w:t xml:space="preserve">6.1. Chồng chéo và xung đột với các pháp luật chuyên ngành </w:t>
      </w:r>
    </w:p>
    <w:p w14:paraId="3C82CF17" w14:textId="11D00909" w:rsidR="003A4EB5" w:rsidRPr="003A4EB5" w:rsidRDefault="003A4EB5" w:rsidP="003A4EB5">
      <w:pPr>
        <w:spacing w:before="120" w:after="120" w:line="22" w:lineRule="atLeast"/>
        <w:ind w:firstLine="720"/>
        <w:jc w:val="both"/>
        <w:rPr>
          <w:sz w:val="28"/>
          <w:szCs w:val="28"/>
        </w:rPr>
      </w:pPr>
      <w:r w:rsidRPr="003A4EB5">
        <w:rPr>
          <w:sz w:val="28"/>
          <w:szCs w:val="28"/>
        </w:rPr>
        <w:t>Hóa chất là mặt hàng có tính "lưỡng dụng" cao, liên quan đến nhiều lĩnh vực nên quá trình quản lý đang gặp sự giao thoa, thiếu thống nhất giữa các ngành:</w:t>
      </w:r>
    </w:p>
    <w:p w14:paraId="014F7AA1" w14:textId="77777777" w:rsidR="003A4EB5" w:rsidRPr="003A4EB5" w:rsidRDefault="003A4EB5" w:rsidP="003A4EB5">
      <w:pPr>
        <w:spacing w:before="120" w:after="120" w:line="22" w:lineRule="atLeast"/>
        <w:ind w:firstLine="720"/>
        <w:jc w:val="both"/>
        <w:rPr>
          <w:sz w:val="28"/>
          <w:szCs w:val="28"/>
        </w:rPr>
      </w:pPr>
      <w:r w:rsidRPr="003A4EB5">
        <w:rPr>
          <w:sz w:val="28"/>
          <w:szCs w:val="28"/>
        </w:rPr>
        <w:t xml:space="preserve">Với ngành Y tế (Luật Dược): Theo phản ánh của tỉnh Gia Lai, có sự chồng chéo về phạm vi điều chỉnh giữa pháp luật hóa chất và pháp luật về dược (Nghị định 163/2025/NĐ-CP) đối với nguyên liệu làm thuốc nhập khẩu. Các quy định hiện hành chưa có hướng dẫn loại trừ hoặc thống nhất về việc nguyên liệu này có </w:t>
      </w:r>
      <w:r w:rsidRPr="003A4EB5">
        <w:rPr>
          <w:sz w:val="28"/>
          <w:szCs w:val="28"/>
        </w:rPr>
        <w:lastRenderedPageBreak/>
        <w:t>phải thực hiện thủ tục khai báo hóa chất khi nhập khẩu hay không, gây lúng túng cho doanh nghiệp, làm chậm tiến độ thông quan và phát sinh chi phí tuân thủ.</w:t>
      </w:r>
    </w:p>
    <w:p w14:paraId="61201AB9" w14:textId="1F884516" w:rsidR="003A4EB5" w:rsidRPr="003A4EB5" w:rsidRDefault="003A4EB5" w:rsidP="003A4EB5">
      <w:pPr>
        <w:spacing w:before="120" w:after="120" w:line="22" w:lineRule="atLeast"/>
        <w:ind w:firstLine="720"/>
        <w:jc w:val="both"/>
        <w:rPr>
          <w:sz w:val="28"/>
          <w:szCs w:val="28"/>
        </w:rPr>
      </w:pPr>
      <w:r w:rsidRPr="003A4EB5">
        <w:rPr>
          <w:sz w:val="28"/>
          <w:szCs w:val="28"/>
        </w:rPr>
        <w:t>Với ngành Tài nguyên và Môi trường: Tỉnh Quảng Ninh chỉ ra sự bất nhất trong hệ thống thuật ngữ. Nghị định số 26</w:t>
      </w:r>
      <w:r w:rsidR="00A53FE2">
        <w:rPr>
          <w:sz w:val="28"/>
          <w:szCs w:val="28"/>
        </w:rPr>
        <w:t>/2026/NĐ-CP</w:t>
      </w:r>
      <w:r w:rsidRPr="003A4EB5">
        <w:rPr>
          <w:sz w:val="28"/>
          <w:szCs w:val="28"/>
        </w:rPr>
        <w:t xml:space="preserve"> xác định "chất độc" theo tiêu chí phân loại của GHS, trong khi pháp luật về bảo vệ môi trường lại sử dụng các thuật ngữ "hóa chất độc", "hóa chất độc hại" nhưng chưa có hướng dẫn liên ngành để đối chiếu. Điều này gây khó khăn lớn trong việc xác định loại hình, mức độ tác động môi trường của dự án và các thủ tục cấp phép môi trường liên quan.</w:t>
      </w:r>
    </w:p>
    <w:p w14:paraId="27AE19CE" w14:textId="77777777" w:rsidR="003A4EB5" w:rsidRPr="003A4EB5" w:rsidRDefault="003A4EB5" w:rsidP="003A4EB5">
      <w:pPr>
        <w:spacing w:before="120" w:after="120" w:line="22" w:lineRule="atLeast"/>
        <w:ind w:firstLine="720"/>
        <w:jc w:val="both"/>
        <w:rPr>
          <w:sz w:val="28"/>
          <w:szCs w:val="28"/>
        </w:rPr>
      </w:pPr>
      <w:r w:rsidRPr="003A4EB5">
        <w:rPr>
          <w:sz w:val="28"/>
          <w:szCs w:val="28"/>
        </w:rPr>
        <w:t>Với ngành Nông nghiệp: Theo báo cáo của tỉnh Nghệ An, hệ thống văn bản liên quan đến nhiều luật chuyên ngành (Luật Hóa chất, Trồng trọt, Chăn nuôi, Thủy sản, An toàn thực phẩm...) dẫn đến sự giao thoa về phạm vi và trách nhiệm quản lý, gây khó khăn trong việc tổ chức thực hiện và phối hợp liên ngành để kiểm soát vật tư nông nghiệp.</w:t>
      </w:r>
    </w:p>
    <w:p w14:paraId="5D20B6AC" w14:textId="5D28D34A" w:rsidR="003A4EB5" w:rsidRPr="003A4EB5" w:rsidRDefault="003A4EB5" w:rsidP="003A4EB5">
      <w:pPr>
        <w:spacing w:before="120" w:after="120" w:line="22" w:lineRule="atLeast"/>
        <w:ind w:firstLine="720"/>
        <w:jc w:val="both"/>
        <w:rPr>
          <w:sz w:val="28"/>
          <w:szCs w:val="28"/>
        </w:rPr>
      </w:pPr>
      <w:r w:rsidRPr="003A4EB5">
        <w:rPr>
          <w:sz w:val="28"/>
          <w:szCs w:val="28"/>
        </w:rPr>
        <w:t>Với ngành Lao động - Thương binh và Xã hội: Bộ Nội vụ phản ánh sự chồng chéo giữa quy định huấn luyện an toàn hóa chất (theo Nghị định 25</w:t>
      </w:r>
      <w:r w:rsidR="00A53FE2">
        <w:rPr>
          <w:sz w:val="28"/>
          <w:szCs w:val="28"/>
        </w:rPr>
        <w:t>/2026/NĐ-CP</w:t>
      </w:r>
      <w:r w:rsidRPr="003A4EB5">
        <w:rPr>
          <w:sz w:val="28"/>
          <w:szCs w:val="28"/>
        </w:rPr>
        <w:t xml:space="preserve"> và 26</w:t>
      </w:r>
      <w:r w:rsidR="00A53FE2">
        <w:rPr>
          <w:sz w:val="28"/>
          <w:szCs w:val="28"/>
        </w:rPr>
        <w:t>/2026/NĐ-CP</w:t>
      </w:r>
      <w:r w:rsidRPr="003A4EB5">
        <w:rPr>
          <w:sz w:val="28"/>
          <w:szCs w:val="28"/>
        </w:rPr>
        <w:t>) với huấn luyện an toàn, vệ sinh lao động chung, làm phát sinh chi phí "kép" cho doanh nghiệp.</w:t>
      </w:r>
    </w:p>
    <w:p w14:paraId="4B0CBF39" w14:textId="77777777" w:rsidR="003A4EB5" w:rsidRPr="003A4EB5" w:rsidRDefault="003A4EB5" w:rsidP="003A4EB5">
      <w:pPr>
        <w:spacing w:before="120" w:after="120" w:line="22" w:lineRule="atLeast"/>
        <w:ind w:firstLine="720"/>
        <w:jc w:val="both"/>
        <w:rPr>
          <w:sz w:val="28"/>
          <w:szCs w:val="28"/>
        </w:rPr>
      </w:pPr>
      <w:r w:rsidRPr="003A4EB5">
        <w:rPr>
          <w:sz w:val="28"/>
          <w:szCs w:val="28"/>
        </w:rPr>
        <w:t>6.2. Bất cập trong phân định thẩm quyền và quy chuẩn kỹ thuật</w:t>
      </w:r>
    </w:p>
    <w:p w14:paraId="4310C646" w14:textId="049D2A4C" w:rsidR="003A4EB5" w:rsidRPr="003A4EB5" w:rsidRDefault="003A4EB5" w:rsidP="003A4EB5">
      <w:pPr>
        <w:spacing w:before="120" w:after="120" w:line="22" w:lineRule="atLeast"/>
        <w:ind w:firstLine="720"/>
        <w:jc w:val="both"/>
        <w:rPr>
          <w:sz w:val="28"/>
          <w:szCs w:val="28"/>
        </w:rPr>
      </w:pPr>
      <w:r w:rsidRPr="003A4EB5">
        <w:rPr>
          <w:sz w:val="28"/>
          <w:szCs w:val="28"/>
        </w:rPr>
        <w:t xml:space="preserve">Mâu thuẫn thẩm quyền ban hành Quy chuẩn: Bộ Xây dựng phản ánh việc khoản 3 Điều 3 Nghị định số </w:t>
      </w:r>
      <w:r w:rsidR="00A53FE2" w:rsidRPr="003A4EB5">
        <w:rPr>
          <w:sz w:val="28"/>
          <w:szCs w:val="28"/>
        </w:rPr>
        <w:t>26</w:t>
      </w:r>
      <w:r w:rsidR="00A53FE2">
        <w:rPr>
          <w:sz w:val="28"/>
          <w:szCs w:val="28"/>
        </w:rPr>
        <w:t>/2026/NĐ-CP</w:t>
      </w:r>
      <w:r w:rsidRPr="003A4EB5">
        <w:rPr>
          <w:sz w:val="28"/>
          <w:szCs w:val="28"/>
        </w:rPr>
        <w:t xml:space="preserve"> giao Bộ này ban hành quy chuẩn kỹ thuật về "vận chuyển hóa chất nguy hiểm" là trái thẩm quyền và không phù hợp thực tế. Lý do là việc vận chuyển hàng hóa nguy hiểm trên đường bộ, đường thủy thuộc chức năng quản lý của Bộ Giao thông Vận tải và Bộ Công Thương.</w:t>
      </w:r>
    </w:p>
    <w:p w14:paraId="759339BA" w14:textId="77777777" w:rsidR="003A4EB5" w:rsidRPr="003A4EB5" w:rsidRDefault="003A4EB5" w:rsidP="003A4EB5">
      <w:pPr>
        <w:spacing w:before="120" w:after="120" w:line="22" w:lineRule="atLeast"/>
        <w:ind w:firstLine="720"/>
        <w:jc w:val="both"/>
        <w:rPr>
          <w:sz w:val="28"/>
          <w:szCs w:val="28"/>
        </w:rPr>
      </w:pPr>
      <w:r w:rsidRPr="003A4EB5">
        <w:rPr>
          <w:sz w:val="28"/>
          <w:szCs w:val="28"/>
        </w:rPr>
        <w:t>Mâu thuẫn nội tại trong phân cấp của Bộ Công Thương: Tỉnh Gia Lai chỉ ra sự thiếu đồng bộ giữa Thông tư 01/2026/TT-BCT và Thông tư 26/2026/TT-BCT đối với hóa chất cần kiểm soát đặc biệt Nhóm 1. Cụ thể, địa phương được giao thẩm quyền cấp phép xuất/nhập khẩu, nhưng thẩm quyền cấp phép sản xuất/kinh doanh lại vẫn thuộc Cục Hóa chất (Bộ Công Thương). Việc phân cấp không đồng bộ đối với cùng một nhóm hóa chất gây khó khăn lớn cho công tác quản lý trên cùng một địa bàn.</w:t>
      </w:r>
    </w:p>
    <w:p w14:paraId="2C1A8DA8" w14:textId="77777777" w:rsidR="003A4EB5" w:rsidRPr="003A4EB5" w:rsidRDefault="003A4EB5" w:rsidP="003A4EB5">
      <w:pPr>
        <w:spacing w:before="120" w:after="120" w:line="22" w:lineRule="atLeast"/>
        <w:ind w:firstLine="720"/>
        <w:jc w:val="both"/>
        <w:rPr>
          <w:sz w:val="28"/>
          <w:szCs w:val="28"/>
        </w:rPr>
      </w:pPr>
      <w:r w:rsidRPr="003A4EB5">
        <w:rPr>
          <w:sz w:val="28"/>
          <w:szCs w:val="28"/>
        </w:rPr>
        <w:t>6.3. Vướng mắc trong quy trình phối hợp xử lý thủ tục hành chính</w:t>
      </w:r>
    </w:p>
    <w:p w14:paraId="11B92DE4" w14:textId="77777777" w:rsidR="003A4EB5" w:rsidRPr="003A4EB5" w:rsidRDefault="003A4EB5" w:rsidP="003A4EB5">
      <w:pPr>
        <w:spacing w:before="120" w:after="120" w:line="22" w:lineRule="atLeast"/>
        <w:ind w:firstLine="720"/>
        <w:jc w:val="both"/>
        <w:rPr>
          <w:sz w:val="28"/>
          <w:szCs w:val="28"/>
        </w:rPr>
      </w:pPr>
      <w:r w:rsidRPr="003A4EB5">
        <w:rPr>
          <w:sz w:val="28"/>
          <w:szCs w:val="28"/>
        </w:rPr>
        <w:t>Phối hợp với Bộ Công an: Tỉnh Hà Tĩnh báo cáo vướng mắc liên quan đến thủ tục xuất khẩu hóa chất cần kiểm soát đặc biệt là tiền chất công nghiệp. Quy định yêu cầu phải có văn bản chấp thuận của Bộ Công an trong thời hạn 03 ngày làm việc là quá ngắn. Đồng thời, văn bản pháp luật chưa quy định rõ hướng xử lý nếu hết thời hạn mà Bộ Công an chưa có ý kiến trả lời, khiến cơ quan cấp phép (Sở Công Thương) lúng túng, khó đảm bảo thời gian giải quyết thủ tục.</w:t>
      </w:r>
    </w:p>
    <w:p w14:paraId="08223EBA" w14:textId="77777777" w:rsidR="003A4EB5" w:rsidRPr="003A4EB5" w:rsidRDefault="003A4EB5" w:rsidP="003A4EB5">
      <w:pPr>
        <w:spacing w:before="120" w:after="120" w:line="22" w:lineRule="atLeast"/>
        <w:ind w:firstLine="720"/>
        <w:jc w:val="both"/>
        <w:rPr>
          <w:sz w:val="28"/>
          <w:szCs w:val="28"/>
        </w:rPr>
      </w:pPr>
      <w:r w:rsidRPr="003A4EB5">
        <w:rPr>
          <w:sz w:val="28"/>
          <w:szCs w:val="28"/>
        </w:rPr>
        <w:t xml:space="preserve">Phối hợp với cơ quan Hải quan: Tổng cục Hải quan đánh giá có sự thiếu đồng bộ giữa quy định quản lý chuyên ngành hóa chất với thực tiễn hoạt động thương mại, quy trình vận tải quốc tế và pháp luật hải quan. Hệ thống Cổng thông </w:t>
      </w:r>
      <w:r w:rsidRPr="003A4EB5">
        <w:rPr>
          <w:sz w:val="28"/>
          <w:szCs w:val="28"/>
        </w:rPr>
        <w:lastRenderedPageBreak/>
        <w:t>tin một cửa quốc gia chưa hoàn thiện việc liên thông, chia sẻ dữ liệu giấy phép điện tử từ Bộ Công Thương, dẫn đến ách tắc tại cửa khẩu.</w:t>
      </w:r>
    </w:p>
    <w:p w14:paraId="24CD1035" w14:textId="77777777" w:rsidR="003A4EB5" w:rsidRPr="003A4EB5" w:rsidRDefault="003A4EB5" w:rsidP="003A4EB5">
      <w:pPr>
        <w:spacing w:before="120" w:after="120" w:line="22" w:lineRule="atLeast"/>
        <w:ind w:firstLine="720"/>
        <w:jc w:val="both"/>
        <w:rPr>
          <w:sz w:val="28"/>
          <w:szCs w:val="28"/>
        </w:rPr>
      </w:pPr>
      <w:r w:rsidRPr="003A4EB5">
        <w:rPr>
          <w:sz w:val="28"/>
          <w:szCs w:val="28"/>
        </w:rPr>
        <w:t>6.4. Hạn chế trong chia sẻ dữ liệu và thông tin liên ngành</w:t>
      </w:r>
    </w:p>
    <w:p w14:paraId="69F3824A" w14:textId="77777777" w:rsidR="003A4EB5" w:rsidRPr="003A4EB5" w:rsidRDefault="003A4EB5" w:rsidP="003A4EB5">
      <w:pPr>
        <w:spacing w:before="120" w:after="120" w:line="22" w:lineRule="atLeast"/>
        <w:ind w:firstLine="720"/>
        <w:jc w:val="both"/>
        <w:rPr>
          <w:sz w:val="28"/>
          <w:szCs w:val="28"/>
        </w:rPr>
      </w:pPr>
      <w:r w:rsidRPr="003A4EB5">
        <w:rPr>
          <w:sz w:val="28"/>
          <w:szCs w:val="28"/>
        </w:rPr>
        <w:t>Cơ sở dữ liệu bị "cô lập": Báo cáo tổng kết của Bộ Công Thương và Bộ Văn hóa, Thể thao và Du lịch đều nhấn mạnh: Cơ chế phối hợp, chia sẻ thông tin giữa các bộ, ngành (Công Thương, Nông nghiệp, Y tế, Giáo dục, Hải quan) và giữa các địa phương với nhau còn nhiều hạn chế.</w:t>
      </w:r>
    </w:p>
    <w:p w14:paraId="3DDA4433" w14:textId="77777777" w:rsidR="003A4EB5" w:rsidRPr="003A4EB5" w:rsidRDefault="003A4EB5" w:rsidP="003A4EB5">
      <w:pPr>
        <w:spacing w:before="120" w:after="120" w:line="22" w:lineRule="atLeast"/>
        <w:ind w:firstLine="720"/>
        <w:jc w:val="both"/>
        <w:rPr>
          <w:sz w:val="28"/>
          <w:szCs w:val="28"/>
        </w:rPr>
      </w:pPr>
      <w:r w:rsidRPr="003A4EB5">
        <w:rPr>
          <w:sz w:val="28"/>
          <w:szCs w:val="28"/>
        </w:rPr>
        <w:t>Hệ thống Cơ sở dữ liệu chuyên ngành hóa chất quốc gia hiện vẫn thiếu sự liên kết đồng bộ với hệ thống dữ liệu của các ngành khác. Cục Thương mại điện tử và Kinh tế số cũng kiến nghị việc thiếu cơ chế chia sẻ danh mục hóa chất cấm/có điều kiện để các nền tảng bán hàng trực tuyến có thể tự động kiểm soát, ngăn chặn vi phạm. Sự thiếu quy trình vận hành và kết nối dữ liệu liên thông này đã tạo ra những khoảng trống trong việc giám sát, truy xuất nguồn gốc hóa chất theo chuỗi cung ứng</w:t>
      </w:r>
    </w:p>
    <w:p w14:paraId="6B663037"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IV. PHÂN TÍCH NGUYÊN NHÂN</w:t>
      </w:r>
    </w:p>
    <w:p w14:paraId="49705C0E" w14:textId="77777777" w:rsidR="00A53FE2" w:rsidRPr="00A53FE2" w:rsidRDefault="00A53FE2" w:rsidP="00A53FE2">
      <w:pPr>
        <w:spacing w:before="120" w:after="120" w:line="22" w:lineRule="atLeast"/>
        <w:ind w:firstLine="720"/>
        <w:jc w:val="both"/>
        <w:rPr>
          <w:b/>
          <w:sz w:val="28"/>
          <w:szCs w:val="28"/>
        </w:rPr>
      </w:pPr>
      <w:r w:rsidRPr="00A53FE2">
        <w:rPr>
          <w:b/>
          <w:sz w:val="28"/>
          <w:szCs w:val="28"/>
        </w:rPr>
        <w:t>1. Nguyên nhân khách quan</w:t>
      </w:r>
    </w:p>
    <w:p w14:paraId="7688528F" w14:textId="77777777" w:rsidR="00A53FE2" w:rsidRPr="00A53FE2" w:rsidRDefault="00A53FE2" w:rsidP="00A53FE2">
      <w:pPr>
        <w:spacing w:before="120" w:after="120" w:line="22" w:lineRule="atLeast"/>
        <w:ind w:firstLine="720"/>
        <w:jc w:val="both"/>
        <w:rPr>
          <w:sz w:val="28"/>
          <w:szCs w:val="28"/>
        </w:rPr>
      </w:pPr>
      <w:r w:rsidRPr="00A53FE2">
        <w:rPr>
          <w:sz w:val="28"/>
          <w:szCs w:val="28"/>
        </w:rPr>
        <w:t>1.1. Tính mới, sự thay đổi nhanh chóng của hệ thống pháp luật và hiệu lực thi hành quá gấp</w:t>
      </w:r>
    </w:p>
    <w:p w14:paraId="66D4311B" w14:textId="77777777" w:rsidR="00A53FE2" w:rsidRPr="00A53FE2" w:rsidRDefault="00A53FE2" w:rsidP="00A53FE2">
      <w:pPr>
        <w:spacing w:before="120" w:after="120" w:line="22" w:lineRule="atLeast"/>
        <w:ind w:firstLine="720"/>
        <w:jc w:val="both"/>
        <w:rPr>
          <w:sz w:val="28"/>
          <w:szCs w:val="28"/>
        </w:rPr>
      </w:pPr>
      <w:r w:rsidRPr="00A53FE2">
        <w:rPr>
          <w:sz w:val="28"/>
          <w:szCs w:val="28"/>
        </w:rPr>
        <w:t>Sự thay đổi căn bản về phương thức quản lý: Luật Hóa chất năm 2025 và Nghị định số 26/2026/NĐ-CP có rất nhiều nội dung mới, chuyển đổi mạnh mẽ từ phương thức "tiền kiểm" sang "hậu kiểm" và quản lý dựa trên đánh giá mức độ rủi ro. Khối lượng quy định lớn, thay đổi nhiều khiến các doanh nghiệp (đặc biệt là doanh nghiệp nhỏ) và cả cơ quan quản lý tại địa phương lúng túng, cần nhiều thời gian để nắm bắt, thích nghi và điều chỉnh quy trình hoạt động.</w:t>
      </w:r>
    </w:p>
    <w:p w14:paraId="756CCE12" w14:textId="77777777" w:rsidR="00A53FE2" w:rsidRPr="00A53FE2" w:rsidRDefault="00A53FE2" w:rsidP="00A53FE2">
      <w:pPr>
        <w:spacing w:before="120" w:after="120" w:line="22" w:lineRule="atLeast"/>
        <w:ind w:firstLine="720"/>
        <w:jc w:val="both"/>
        <w:rPr>
          <w:sz w:val="28"/>
          <w:szCs w:val="28"/>
        </w:rPr>
      </w:pPr>
      <w:r w:rsidRPr="00A53FE2">
        <w:rPr>
          <w:sz w:val="28"/>
          <w:szCs w:val="28"/>
        </w:rPr>
        <w:t>Hiệu lực thi hành không có độ trễ: Nghị định số 25/2026/NĐ-CP và Nghị định số 26/2026/NĐ-CP có hiệu lực thi hành ngay kể từ ngày ký ban hành (17/01/2026), trong khi Luật Hóa chất có hiệu lực từ ngày 01/01/2026. Việc văn bản có hiệu lực ngay lập tức, thiếu khoảng thời gian chuyển tiếp hợp lý đã khiến các cơ quan nhà nước và cơ sở hoạt động hóa chất rơi vào thế bị động trong việc chuẩn bị các điều kiện tuân thủ.</w:t>
      </w:r>
    </w:p>
    <w:p w14:paraId="6A2A6CA4" w14:textId="77777777" w:rsidR="00A53FE2" w:rsidRPr="00A53FE2" w:rsidRDefault="00A53FE2" w:rsidP="00A53FE2">
      <w:pPr>
        <w:spacing w:before="120" w:after="120" w:line="22" w:lineRule="atLeast"/>
        <w:ind w:firstLine="720"/>
        <w:jc w:val="both"/>
        <w:rPr>
          <w:sz w:val="28"/>
          <w:szCs w:val="28"/>
        </w:rPr>
      </w:pPr>
      <w:r w:rsidRPr="00A53FE2">
        <w:rPr>
          <w:sz w:val="28"/>
          <w:szCs w:val="28"/>
        </w:rPr>
        <w:t>1.2. Sự thiếu đồng bộ và chậm ban hành của hệ thống quy chuẩn kỹ thuật hướng dẫn</w:t>
      </w:r>
    </w:p>
    <w:p w14:paraId="7896C330" w14:textId="77777777" w:rsidR="00A53FE2" w:rsidRPr="00A53FE2" w:rsidRDefault="00A53FE2" w:rsidP="00A53FE2">
      <w:pPr>
        <w:spacing w:before="120" w:after="120" w:line="22" w:lineRule="atLeast"/>
        <w:ind w:firstLine="720"/>
        <w:jc w:val="both"/>
        <w:rPr>
          <w:sz w:val="28"/>
          <w:szCs w:val="28"/>
        </w:rPr>
      </w:pPr>
      <w:r w:rsidRPr="00A53FE2">
        <w:rPr>
          <w:sz w:val="28"/>
          <w:szCs w:val="28"/>
        </w:rPr>
        <w:t>Một số nội dung quản lý chuyên sâu đòi hỏi phải có hệ thống tiêu chuẩn, quy chuẩn kỹ thuật và phương pháp thử nghiệm đi kèm (như phương pháp xác định hóa chất nguy hiểm trong sản phẩm, hàng hóa) nhưng hiện các văn bản hướng dẫn chuyên ngành này chưa được ban hành đầy đủ.</w:t>
      </w:r>
    </w:p>
    <w:p w14:paraId="4ACB130E" w14:textId="77777777" w:rsidR="00A53FE2" w:rsidRPr="00A53FE2" w:rsidRDefault="00A53FE2" w:rsidP="00A53FE2">
      <w:pPr>
        <w:spacing w:before="120" w:after="120" w:line="22" w:lineRule="atLeast"/>
        <w:ind w:firstLine="720"/>
        <w:jc w:val="both"/>
        <w:rPr>
          <w:sz w:val="28"/>
          <w:szCs w:val="28"/>
        </w:rPr>
      </w:pPr>
      <w:r w:rsidRPr="00A53FE2">
        <w:rPr>
          <w:sz w:val="28"/>
          <w:szCs w:val="28"/>
        </w:rPr>
        <w:t>Đặc biệt, sự thiếu vắng Quy chuẩn kỹ thuật quốc gia về "khoảng cách an toàn hóa chất" đã gây ra khoảng trống pháp lý, làm khó cho cả doanh nghiệp khi thiết kế dự án và cơ quan quản lý khi thực hiện công tác thẩm định, cấp phép.</w:t>
      </w:r>
    </w:p>
    <w:p w14:paraId="6BA6DB6C" w14:textId="77777777" w:rsidR="00A53FE2" w:rsidRPr="00A53FE2" w:rsidRDefault="00A53FE2" w:rsidP="00A53FE2">
      <w:pPr>
        <w:spacing w:before="120" w:after="120" w:line="22" w:lineRule="atLeast"/>
        <w:ind w:firstLine="720"/>
        <w:jc w:val="both"/>
        <w:rPr>
          <w:sz w:val="28"/>
          <w:szCs w:val="28"/>
        </w:rPr>
      </w:pPr>
      <w:r w:rsidRPr="00A53FE2">
        <w:rPr>
          <w:sz w:val="28"/>
          <w:szCs w:val="28"/>
        </w:rPr>
        <w:t>1.3. Đặc thù phức tạp, đa dạng và tính liên ngành của lĩnh vực hóa chất</w:t>
      </w:r>
    </w:p>
    <w:p w14:paraId="7B3CA82E" w14:textId="77777777" w:rsidR="00A53FE2" w:rsidRPr="00A53FE2" w:rsidRDefault="00A53FE2" w:rsidP="00A53FE2">
      <w:pPr>
        <w:spacing w:before="120" w:after="120" w:line="22" w:lineRule="atLeast"/>
        <w:ind w:firstLine="720"/>
        <w:jc w:val="both"/>
        <w:rPr>
          <w:sz w:val="28"/>
          <w:szCs w:val="28"/>
        </w:rPr>
      </w:pPr>
      <w:r w:rsidRPr="00A53FE2">
        <w:rPr>
          <w:sz w:val="28"/>
          <w:szCs w:val="28"/>
        </w:rPr>
        <w:lastRenderedPageBreak/>
        <w:t>Hóa chất là một lĩnh vực có tính chuyên môn rất cao, đa dạng về chủng loại, mức độ nguy hại và có tính "lưỡng dụng" (sử dụng trong nhiều ngành nghề khác nhau). Hệ thống văn bản điều chỉnh hoạt động hóa chất liên quan đến nhiều luật chuyên ngành (Luật Dược, Luật Bảo vệ Môi trường, Luật Trồng trọt, Chăn nuôi, Thủy sản, An toàn thực phẩm), dẫn đến sự giao thoa, chồng chéo tất yếu về phạm vi và trách nhiệm quản lý giữa các Bộ, ngành.</w:t>
      </w:r>
    </w:p>
    <w:p w14:paraId="610CE6EB" w14:textId="77777777" w:rsidR="00A53FE2" w:rsidRPr="00A53FE2" w:rsidRDefault="00A53FE2" w:rsidP="00A53FE2">
      <w:pPr>
        <w:spacing w:before="120" w:after="120" w:line="22" w:lineRule="atLeast"/>
        <w:ind w:firstLine="720"/>
        <w:jc w:val="both"/>
        <w:rPr>
          <w:sz w:val="28"/>
          <w:szCs w:val="28"/>
        </w:rPr>
      </w:pPr>
      <w:r w:rsidRPr="00A53FE2">
        <w:rPr>
          <w:sz w:val="28"/>
          <w:szCs w:val="28"/>
        </w:rPr>
        <w:t>Sự đa dạng về đối tượng sử dụng cũng tạo ra rào cản. Các quy định hiện hành chủ yếu được thiết kế cho hoạt động sản xuất, kinh doanh công nghiệp quy mô lớn, do đó khi áp dụng vào các ngành có tính đặc thù cao, sử dụng hóa chất với khối lượng rất nhỏ (như bảo quản tài liệu lưu trữ quốc gia, phòng thí nghiệm) sẽ bị khiên cưỡng và khó khả thi. Đặc thù sản xuất nông nghiệp với quy mô hộ gia đình, nhỏ lẻ và phân tán trên diện rộng (đặc biệt tại vùng sâu, vùng xa) cũng làm cho việc kiểm soát, giám sát gặp rất nhiều thách thức.</w:t>
      </w:r>
    </w:p>
    <w:p w14:paraId="4703A91A" w14:textId="77777777" w:rsidR="00A53FE2" w:rsidRPr="00A53FE2" w:rsidRDefault="00A53FE2" w:rsidP="00A53FE2">
      <w:pPr>
        <w:spacing w:before="120" w:after="120" w:line="22" w:lineRule="atLeast"/>
        <w:ind w:firstLine="720"/>
        <w:jc w:val="both"/>
        <w:rPr>
          <w:sz w:val="28"/>
          <w:szCs w:val="28"/>
        </w:rPr>
      </w:pPr>
      <w:r w:rsidRPr="00A53FE2">
        <w:rPr>
          <w:sz w:val="28"/>
          <w:szCs w:val="28"/>
        </w:rPr>
        <w:t>1.4. Rào cản từ hạ tầng công nghệ thông tin trong giai đoạn đầu chuyển đổi số</w:t>
      </w:r>
    </w:p>
    <w:p w14:paraId="727B1B37" w14:textId="77777777" w:rsidR="00A53FE2" w:rsidRPr="00A53FE2" w:rsidRDefault="00A53FE2" w:rsidP="00A53FE2">
      <w:pPr>
        <w:spacing w:before="120" w:after="120" w:line="22" w:lineRule="atLeast"/>
        <w:ind w:firstLine="720"/>
        <w:jc w:val="both"/>
        <w:rPr>
          <w:sz w:val="28"/>
          <w:szCs w:val="28"/>
        </w:rPr>
      </w:pPr>
      <w:r w:rsidRPr="00A53FE2">
        <w:rPr>
          <w:sz w:val="28"/>
          <w:szCs w:val="28"/>
        </w:rPr>
        <w:t>Đẩy mạnh số hóa là chủ trương đúng đắn, nhưng việc triển khai đang diễn ra trong giai đoạn hạ tầng công nghệ thông tin quốc gia đang được tái cấu trúc. Hệ thống Cơ sở dữ liệu chuyên ngành hóa chất quốc gia và Cổng thông tin một cửa quốc gia (liên thông hải quan) chưa được hoàn thiện đồng bộ, chưa có sự kết nối và chia sẻ dữ liệu liên thông, xuyên suốt giữa các bộ, ngành và địa phương. Đây là nguyên nhân khách quan dẫn đến các lỗi hệ thống cục bộ, ách tắc thủ tục thông quan và việc vẫn phải duy trì yêu cầu nộp hồ sơ bản giấy để đối chiếu.</w:t>
      </w:r>
    </w:p>
    <w:p w14:paraId="77D005D6" w14:textId="77777777" w:rsidR="00A53FE2" w:rsidRPr="00A53FE2" w:rsidRDefault="00A53FE2" w:rsidP="00A53FE2">
      <w:pPr>
        <w:spacing w:before="120" w:after="120" w:line="22" w:lineRule="atLeast"/>
        <w:ind w:firstLine="720"/>
        <w:jc w:val="both"/>
        <w:rPr>
          <w:sz w:val="28"/>
          <w:szCs w:val="28"/>
        </w:rPr>
      </w:pPr>
      <w:r w:rsidRPr="00A53FE2">
        <w:rPr>
          <w:sz w:val="28"/>
          <w:szCs w:val="28"/>
        </w:rPr>
        <w:t>1.5. Tác động từ sự thay đổi mô hình kinh tế - xã hội và xu hướng thị trường</w:t>
      </w:r>
    </w:p>
    <w:p w14:paraId="027CE280" w14:textId="77777777" w:rsidR="00A53FE2" w:rsidRPr="00A53FE2" w:rsidRDefault="00A53FE2" w:rsidP="00A53FE2">
      <w:pPr>
        <w:spacing w:before="120" w:after="120" w:line="22" w:lineRule="atLeast"/>
        <w:ind w:firstLine="720"/>
        <w:jc w:val="both"/>
        <w:rPr>
          <w:sz w:val="28"/>
          <w:szCs w:val="28"/>
        </w:rPr>
      </w:pPr>
      <w:r w:rsidRPr="00A53FE2">
        <w:rPr>
          <w:sz w:val="28"/>
          <w:szCs w:val="28"/>
        </w:rPr>
        <w:t>Mô hình kinh doanh mới: Sự bùng nổ của thương mại điện tử, mạng xã hội và dịch vụ logistics hiện đại đã làm thay đổi hoàn toàn phương thức mua bán hóa chất truyền thống. Điều này làm gia tăng khó khăn trong việc nhận diện chủ thể, kiểm soát nguồn gốc, điều kiện tồn trữ và chứng từ giao dịch hóa chất trên không gian mạng.</w:t>
      </w:r>
    </w:p>
    <w:p w14:paraId="0C09F071" w14:textId="77777777" w:rsidR="00A53FE2" w:rsidRPr="00A53FE2" w:rsidRDefault="00A53FE2" w:rsidP="00A53FE2">
      <w:pPr>
        <w:spacing w:before="120" w:after="120" w:line="22" w:lineRule="atLeast"/>
        <w:ind w:firstLine="720"/>
        <w:jc w:val="both"/>
        <w:rPr>
          <w:sz w:val="28"/>
          <w:szCs w:val="28"/>
        </w:rPr>
      </w:pPr>
      <w:r w:rsidRPr="00A53FE2">
        <w:rPr>
          <w:sz w:val="28"/>
          <w:szCs w:val="28"/>
        </w:rPr>
        <w:t>Sự xuất hiện của vật liệu mới: Xu hướng phát triển nhanh chóng của khoa học công nghệ làm xuất hiện liên tục nhiều loại hóa chất mới, vật liệu mới và các sản phẩm đa thành phần, đòi hỏi hệ thống pháp luật phải liên tục chạy theo để cập nhật danh mục và phương pháp quản lý.</w:t>
      </w:r>
    </w:p>
    <w:p w14:paraId="7459CB68" w14:textId="77777777" w:rsidR="00A53FE2" w:rsidRPr="00A53FE2" w:rsidRDefault="00A53FE2" w:rsidP="00A53FE2">
      <w:pPr>
        <w:spacing w:before="120" w:after="120" w:line="22" w:lineRule="atLeast"/>
        <w:ind w:firstLine="720"/>
        <w:jc w:val="both"/>
        <w:rPr>
          <w:sz w:val="28"/>
          <w:szCs w:val="28"/>
        </w:rPr>
      </w:pPr>
      <w:r w:rsidRPr="00A53FE2">
        <w:rPr>
          <w:sz w:val="28"/>
          <w:szCs w:val="28"/>
        </w:rPr>
        <w:t>Yếu tố hành chính địa phương: Sự thay đổi mô hình tổ chức chính quyền địa phương (áp dụng mô hình chính quyền 2 cấp, sáp nhập, sắp xếp lại các đơn vị hành chính) đã đặt ra những yêu cầu khách quan phải điều chỉnh về đầu mối, thẩm quyền và cơ chế phối hợp trong quản lý nhà nước tại cơ sở</w:t>
      </w:r>
    </w:p>
    <w:p w14:paraId="4F580413"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2. Nguyên nhân chủ quan</w:t>
      </w:r>
    </w:p>
    <w:p w14:paraId="01162F39" w14:textId="77777777" w:rsidR="00A53FE2" w:rsidRPr="00A53FE2" w:rsidRDefault="00A53FE2" w:rsidP="00A53FE2">
      <w:pPr>
        <w:spacing w:before="120" w:after="120" w:line="22" w:lineRule="atLeast"/>
        <w:ind w:firstLine="720"/>
        <w:jc w:val="both"/>
        <w:rPr>
          <w:sz w:val="28"/>
          <w:szCs w:val="28"/>
        </w:rPr>
      </w:pPr>
      <w:r w:rsidRPr="00A53FE2">
        <w:rPr>
          <w:sz w:val="28"/>
          <w:szCs w:val="28"/>
        </w:rPr>
        <w:t>Bên cạnh những tác động khách quan, những vướng mắc, tồn tại trong quá trình thực thi Nghị định số 26/2026/NĐ-CP còn xuất phát từ nhiều nguyên nhân chủ quan, bao gồm cả khâu xây dựng chính sách, năng lực quản lý của cơ quan nhà nước và ý thức tuân thủ của cộng đồng doanh nghiệp. Cụ thể:</w:t>
      </w:r>
    </w:p>
    <w:p w14:paraId="4B1E4592" w14:textId="77777777" w:rsidR="00A53FE2" w:rsidRPr="00A53FE2" w:rsidRDefault="00A53FE2" w:rsidP="00A53FE2">
      <w:pPr>
        <w:spacing w:before="120" w:after="120" w:line="22" w:lineRule="atLeast"/>
        <w:ind w:firstLine="720"/>
        <w:jc w:val="both"/>
        <w:rPr>
          <w:sz w:val="28"/>
          <w:szCs w:val="28"/>
        </w:rPr>
      </w:pPr>
      <w:r w:rsidRPr="00A53FE2">
        <w:rPr>
          <w:sz w:val="28"/>
          <w:szCs w:val="28"/>
        </w:rPr>
        <w:lastRenderedPageBreak/>
        <w:t>2.1. Về phía cơ quan quản lý nhà nước (trong xây dựng chính sách và tổ chức thực hiện)</w:t>
      </w:r>
    </w:p>
    <w:p w14:paraId="635FBDCA" w14:textId="77777777" w:rsidR="00A53FE2" w:rsidRPr="00A53FE2" w:rsidRDefault="00A53FE2" w:rsidP="00A53FE2">
      <w:pPr>
        <w:spacing w:before="120" w:after="120" w:line="22" w:lineRule="atLeast"/>
        <w:ind w:firstLine="720"/>
        <w:jc w:val="both"/>
        <w:rPr>
          <w:sz w:val="28"/>
          <w:szCs w:val="28"/>
        </w:rPr>
      </w:pPr>
      <w:r w:rsidRPr="00A53FE2">
        <w:rPr>
          <w:sz w:val="28"/>
          <w:szCs w:val="28"/>
        </w:rPr>
        <w:t>Chưa dự liệu hết các tình huống thực tiễn khi xây dựng quy định: Quá trình soạn thảo một số điều khoản chưa đánh giá hết các yếu tố đặc thù, yếu tố lịch sử của doanh nghiệp. Điển hình là việc quy định bắt buộc phải có văn bản nghiệm thu công trình xây dựng khiến các cơ sở sản xuất có từ trước khi Luật Xây dựng 2014 có hiệu lực rơi vào bế tắc. Việc ấn định thời gian công bố mục đích sử dụng trước 30 ngày hay thời hạn giấy phép chỉ 6 tháng cũng chưa bám sát chuỗi cung ứng linh hoạt và các hợp đồng nguyên tắc dài hạn của doanh nghiệp,.</w:t>
      </w:r>
    </w:p>
    <w:p w14:paraId="6B00EC2F" w14:textId="77777777" w:rsidR="00A53FE2" w:rsidRPr="00A53FE2" w:rsidRDefault="00A53FE2" w:rsidP="00A53FE2">
      <w:pPr>
        <w:spacing w:before="120" w:after="120" w:line="22" w:lineRule="atLeast"/>
        <w:ind w:firstLine="720"/>
        <w:jc w:val="both"/>
        <w:rPr>
          <w:sz w:val="28"/>
          <w:szCs w:val="28"/>
        </w:rPr>
      </w:pPr>
      <w:r w:rsidRPr="00A53FE2">
        <w:rPr>
          <w:sz w:val="28"/>
          <w:szCs w:val="28"/>
        </w:rPr>
        <w:t>Sự thiếu quan tâm và hạn chế về nguồn lực đầu tư tại địa phương: Các địa phương chưa thực sự quan tâm phân bổ kinh phí riêng cho công tác quản lý hóa chất và chuyển đổi số, chủ yếu vẫn sử dụng từ nguồn kinh phí hoạt động thường xuyên,. Việc thiếu hụt cơ sở vật chất, trang thiết bị kiểm định, thử nghiệm chuyên dụng khiến cơ quan quản lý gặp khó trong việc kiểm tra, đánh giá an toàn hóa chất trên thực tế,,.</w:t>
      </w:r>
    </w:p>
    <w:p w14:paraId="1D71C64E" w14:textId="77777777" w:rsidR="00A53FE2" w:rsidRPr="00A53FE2" w:rsidRDefault="00A53FE2" w:rsidP="00A53FE2">
      <w:pPr>
        <w:spacing w:before="120" w:after="120" w:line="22" w:lineRule="atLeast"/>
        <w:ind w:firstLine="720"/>
        <w:jc w:val="both"/>
        <w:rPr>
          <w:sz w:val="28"/>
          <w:szCs w:val="28"/>
        </w:rPr>
      </w:pPr>
      <w:r w:rsidRPr="00A53FE2">
        <w:rPr>
          <w:sz w:val="28"/>
          <w:szCs w:val="28"/>
        </w:rPr>
        <w:t>Hạn chế về năng lực và việc bố trí nhân sự: Nguồn nhân lực trực tiếp thực hiện công tác quản lý hóa chất tại địa phương mỏng, hầu hết phải kiêm nhiệm nhiều lĩnh vực và thiếu cán bộ có chuyên môn sâu (trình độ đại học chuyên ngành hóa),,. Công tác đào tạo, bồi dưỡng chuyên sâu cho đội ngũ cán bộ quản lý chưa được tổ chức thường xuyên, liên tục.</w:t>
      </w:r>
    </w:p>
    <w:p w14:paraId="30D1624C" w14:textId="77777777" w:rsidR="00A53FE2" w:rsidRPr="00A53FE2" w:rsidRDefault="00A53FE2" w:rsidP="00A53FE2">
      <w:pPr>
        <w:spacing w:before="120" w:after="120" w:line="22" w:lineRule="atLeast"/>
        <w:ind w:firstLine="720"/>
        <w:jc w:val="both"/>
        <w:rPr>
          <w:sz w:val="28"/>
          <w:szCs w:val="28"/>
        </w:rPr>
      </w:pPr>
      <w:r w:rsidRPr="00A53FE2">
        <w:rPr>
          <w:sz w:val="28"/>
          <w:szCs w:val="28"/>
        </w:rPr>
        <w:t>Cơ chế phối hợp liên ngành chưa thực chất: Sự kết nối, chia sẻ thông tin, dữ liệu giữa các Bộ, ngành (Công Thương, Nông nghiệp, Y tế, Giáo dục, Hải quan) và giữa các địa phương còn hạn chế, chưa có quy trình vận hành đồng bộ, dẫn đến khó khăn trong kiểm soát chuỗi cung ứng hóa chất lưu thông trên nhiều địa bàn,. Công tác tuyên truyền, phổ biến pháp luật chưa thực sự tiếp cận sâu rộng đến các đơn vị, cơ sở sản xuất nhỏ lẻ.</w:t>
      </w:r>
    </w:p>
    <w:p w14:paraId="6BB4CDC8" w14:textId="77777777" w:rsidR="00A53FE2" w:rsidRPr="00A53FE2" w:rsidRDefault="00A53FE2" w:rsidP="00A53FE2">
      <w:pPr>
        <w:spacing w:before="120" w:after="120" w:line="22" w:lineRule="atLeast"/>
        <w:ind w:firstLine="720"/>
        <w:jc w:val="both"/>
        <w:rPr>
          <w:sz w:val="28"/>
          <w:szCs w:val="28"/>
        </w:rPr>
      </w:pPr>
      <w:r w:rsidRPr="00A53FE2">
        <w:rPr>
          <w:sz w:val="28"/>
          <w:szCs w:val="28"/>
        </w:rPr>
        <w:t>2.2. Về phía cộng đồng doanh nghiệp và cơ sở hoạt động hóa chất</w:t>
      </w:r>
    </w:p>
    <w:p w14:paraId="12475923" w14:textId="77777777" w:rsidR="00A53FE2" w:rsidRPr="00A53FE2" w:rsidRDefault="00A53FE2" w:rsidP="00A53FE2">
      <w:pPr>
        <w:spacing w:before="120" w:after="120" w:line="22" w:lineRule="atLeast"/>
        <w:ind w:firstLine="720"/>
        <w:jc w:val="both"/>
        <w:rPr>
          <w:sz w:val="28"/>
          <w:szCs w:val="28"/>
        </w:rPr>
      </w:pPr>
      <w:r w:rsidRPr="00A53FE2">
        <w:rPr>
          <w:sz w:val="28"/>
          <w:szCs w:val="28"/>
        </w:rPr>
        <w:t>Nhận thức và ý thức tuân thủ pháp luật chưa cao: Nhận thức của một số doanh nghiệp, đặc biệt là các doanh nghiệp nhỏ và vừa, hộ kinh doanh cá thể về an toàn hóa chất còn hạn chế, chưa đồng đều,. Nhiều cơ sở chưa cập nhật kịp thời các quy định mới, thực hiện chưa nghiêm túc chế độ lưu giữ hồ sơ, quản lý kho bãi (không đáp ứng QCVN 05A:2020/BCT), thu gom xử lý bao gói và huấn luyện an toàn,.</w:t>
      </w:r>
    </w:p>
    <w:p w14:paraId="56334158" w14:textId="77777777" w:rsidR="00A53FE2" w:rsidRPr="00A53FE2" w:rsidRDefault="00A53FE2" w:rsidP="00A53FE2">
      <w:pPr>
        <w:spacing w:before="120" w:after="120" w:line="22" w:lineRule="atLeast"/>
        <w:ind w:firstLine="720"/>
        <w:jc w:val="both"/>
        <w:rPr>
          <w:sz w:val="28"/>
          <w:szCs w:val="28"/>
        </w:rPr>
      </w:pPr>
      <w:r w:rsidRPr="00A53FE2">
        <w:rPr>
          <w:sz w:val="28"/>
          <w:szCs w:val="28"/>
        </w:rPr>
        <w:t>Tâm lý đối phó, trục lợi chính sách: Một số doanh nghiệp đã có biểu hiện lợi dụng kẽ hở trong việc chuyển đổi sang thực hiện thủ tục trực tuyến ("hậu kiểm") để khai báo thông tin không chính xác, khai báo sai tên thương mại so với danh mục hóa chất để né tránh kiểm soát,. Các nghĩa vụ về an toàn, ứng phó sự cố đôi khi chỉ được thực hiện theo hình thức "đối phó", lấy lệ.</w:t>
      </w:r>
    </w:p>
    <w:p w14:paraId="075EBE90" w14:textId="77777777" w:rsidR="00A53FE2" w:rsidRPr="00A53FE2" w:rsidRDefault="00A53FE2" w:rsidP="00A53FE2">
      <w:pPr>
        <w:spacing w:before="120" w:after="120" w:line="22" w:lineRule="atLeast"/>
        <w:ind w:firstLine="720"/>
        <w:jc w:val="both"/>
        <w:rPr>
          <w:sz w:val="28"/>
          <w:szCs w:val="28"/>
        </w:rPr>
      </w:pPr>
      <w:r w:rsidRPr="00A53FE2">
        <w:rPr>
          <w:sz w:val="28"/>
          <w:szCs w:val="28"/>
        </w:rPr>
        <w:t xml:space="preserve">Hạn chế về nguồn lực đầu tư của doanh nghiệp: Các quy định mới về điều kiện kỹ thuật, quản lý an toàn và chuyển đổi số (khai báo điện tử) đòi hỏi nguồn lực đầu tư tài chính và nhân sự rất lớn. Tuy nhiên, nhiều doanh nghiệp chưa thực </w:t>
      </w:r>
      <w:r w:rsidRPr="00A53FE2">
        <w:rPr>
          <w:sz w:val="28"/>
          <w:szCs w:val="28"/>
        </w:rPr>
        <w:lastRenderedPageBreak/>
        <w:t>sự quan tâm hoặc không đủ khả năng tài chính để đầu tư đồng bộ cho hệ thống bảo quản, trang thiết bị an toàn và nhân lực có chuyên môn sâu theo đúng yêu cầu của pháp luật</w:t>
      </w:r>
    </w:p>
    <w:p w14:paraId="1E8FA60D"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V. ĐÁNH GIÁ TÁC ĐỘNG CỦA NGHỊ ĐỊNH</w:t>
      </w:r>
    </w:p>
    <w:p w14:paraId="07E204D6"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1. Những kết quả tích cực</w:t>
      </w:r>
    </w:p>
    <w:p w14:paraId="1187B0B8" w14:textId="77777777" w:rsidR="006869D1" w:rsidRPr="006869D1" w:rsidRDefault="006869D1" w:rsidP="006869D1">
      <w:pPr>
        <w:spacing w:before="120" w:after="120" w:line="22" w:lineRule="atLeast"/>
        <w:ind w:firstLine="720"/>
        <w:jc w:val="both"/>
        <w:rPr>
          <w:sz w:val="28"/>
          <w:szCs w:val="28"/>
        </w:rPr>
      </w:pPr>
      <w:r w:rsidRPr="006869D1">
        <w:rPr>
          <w:sz w:val="28"/>
          <w:szCs w:val="28"/>
        </w:rPr>
        <w:t>Qua tổng hợp báo cáo từ các Bộ, ngành, địa phương và cộng đồng doanh nghiệp, việc thi hành Nghị định số 26/2026/NĐ-CP (cùng với Nghị định số 25/2026/NĐ-CP) đã mang lại những tác động tích cực, toàn diện trên nhiều mặt về thể chế, kinh tế - xã hội và quản trị nhà nước, cụ thể như sau:</w:t>
      </w:r>
    </w:p>
    <w:p w14:paraId="1D934528" w14:textId="77777777" w:rsidR="006869D1" w:rsidRPr="006869D1" w:rsidRDefault="006869D1" w:rsidP="006869D1">
      <w:pPr>
        <w:spacing w:before="120" w:after="120" w:line="22" w:lineRule="atLeast"/>
        <w:ind w:firstLine="720"/>
        <w:jc w:val="both"/>
        <w:rPr>
          <w:sz w:val="28"/>
          <w:szCs w:val="28"/>
        </w:rPr>
      </w:pPr>
      <w:r w:rsidRPr="006869D1">
        <w:rPr>
          <w:sz w:val="28"/>
          <w:szCs w:val="28"/>
        </w:rPr>
        <w:t>1.1. Hoàn thiện thể chế, nâng cao hiệu lực và hiệu quả quản lý nhà nước</w:t>
      </w:r>
    </w:p>
    <w:p w14:paraId="35D0DFDB" w14:textId="77777777" w:rsidR="006869D1" w:rsidRPr="006869D1" w:rsidRDefault="006869D1" w:rsidP="006869D1">
      <w:pPr>
        <w:spacing w:before="120" w:after="120" w:line="22" w:lineRule="atLeast"/>
        <w:ind w:firstLine="720"/>
        <w:jc w:val="both"/>
        <w:rPr>
          <w:sz w:val="28"/>
          <w:szCs w:val="28"/>
        </w:rPr>
      </w:pPr>
      <w:r w:rsidRPr="006869D1">
        <w:rPr>
          <w:sz w:val="28"/>
          <w:szCs w:val="28"/>
        </w:rPr>
        <w:t>Đa số ý kiến thống nhất đánh giá Nghị định đã tạo lập khuôn khổ pháp lý đồng bộ, minh bạch, cụ thể hóa hiệu quả các quy định của Luật Hóa chất năm 2025, đáp ứng yêu cầu quản lý trong tình hình mới.</w:t>
      </w:r>
    </w:p>
    <w:p w14:paraId="2928A39C" w14:textId="77777777" w:rsidR="006869D1" w:rsidRPr="006869D1" w:rsidRDefault="006869D1" w:rsidP="006869D1">
      <w:pPr>
        <w:spacing w:before="120" w:after="120" w:line="22" w:lineRule="atLeast"/>
        <w:ind w:firstLine="720"/>
        <w:jc w:val="both"/>
        <w:rPr>
          <w:sz w:val="28"/>
          <w:szCs w:val="28"/>
        </w:rPr>
      </w:pPr>
      <w:r w:rsidRPr="006869D1">
        <w:rPr>
          <w:sz w:val="28"/>
          <w:szCs w:val="28"/>
        </w:rPr>
        <w:t>Phân định rõ ràng trách nhiệm giữa các cơ quan quản lý Trung ương, địa phương và các tổ chức, cá nhân, đảm bảo quản lý chặt chẽ theo toàn bộ vòng đời của hóa chất.</w:t>
      </w:r>
    </w:p>
    <w:p w14:paraId="1719635A" w14:textId="77777777" w:rsidR="006869D1" w:rsidRPr="006869D1" w:rsidRDefault="006869D1" w:rsidP="006869D1">
      <w:pPr>
        <w:spacing w:before="120" w:after="120" w:line="22" w:lineRule="atLeast"/>
        <w:ind w:firstLine="720"/>
        <w:jc w:val="both"/>
        <w:rPr>
          <w:sz w:val="28"/>
          <w:szCs w:val="28"/>
        </w:rPr>
      </w:pPr>
      <w:r w:rsidRPr="006869D1">
        <w:rPr>
          <w:sz w:val="28"/>
          <w:szCs w:val="28"/>
        </w:rPr>
        <w:t>Tạo ra sự đổi mới mạnh mẽ trong tư duy quản lý, chuyển dịch từ phương thức "tiền kiểm" bằng điều kiện hành chính sang "hậu kiểm" dựa trên đánh giá mức độ rủi ro, tiếp cận với các chuẩn mực và thông lệ quốc tế (như Hệ thống hài hòa toàn cầu GHS).</w:t>
      </w:r>
    </w:p>
    <w:p w14:paraId="440538B4" w14:textId="77777777" w:rsidR="006869D1" w:rsidRPr="006869D1" w:rsidRDefault="006869D1" w:rsidP="006869D1">
      <w:pPr>
        <w:spacing w:before="120" w:after="120" w:line="22" w:lineRule="atLeast"/>
        <w:ind w:firstLine="720"/>
        <w:jc w:val="both"/>
        <w:rPr>
          <w:sz w:val="28"/>
          <w:szCs w:val="28"/>
        </w:rPr>
      </w:pPr>
      <w:r w:rsidRPr="006869D1">
        <w:rPr>
          <w:sz w:val="28"/>
          <w:szCs w:val="28"/>
        </w:rPr>
        <w:t>1.2. Tác động tích cực về kinh tế, cải thiện môi trường đầu tư kinh doanh</w:t>
      </w:r>
    </w:p>
    <w:p w14:paraId="175D3666" w14:textId="77777777" w:rsidR="006869D1" w:rsidRPr="006869D1" w:rsidRDefault="006869D1" w:rsidP="006869D1">
      <w:pPr>
        <w:spacing w:before="120" w:after="120" w:line="22" w:lineRule="atLeast"/>
        <w:ind w:firstLine="720"/>
        <w:jc w:val="both"/>
        <w:rPr>
          <w:sz w:val="28"/>
          <w:szCs w:val="28"/>
        </w:rPr>
      </w:pPr>
      <w:r w:rsidRPr="006869D1">
        <w:rPr>
          <w:sz w:val="28"/>
          <w:szCs w:val="28"/>
        </w:rPr>
        <w:t>Tạo môi trường kinh doanh ổn định, minh bạch, giúp doanh nghiệp giảm thiểu rủi ro pháp lý, thúc đẩy phát triển sản xuất các sản phẩm hóa chất trọng yếu, khuyến khích ứng dụng công nghệ tiên tiến, thân thiện với môi trường.</w:t>
      </w:r>
    </w:p>
    <w:p w14:paraId="6DFC94D5" w14:textId="77777777" w:rsidR="006869D1" w:rsidRPr="006869D1" w:rsidRDefault="006869D1" w:rsidP="006869D1">
      <w:pPr>
        <w:spacing w:before="120" w:after="120" w:line="22" w:lineRule="atLeast"/>
        <w:ind w:firstLine="720"/>
        <w:jc w:val="both"/>
        <w:rPr>
          <w:sz w:val="28"/>
          <w:szCs w:val="28"/>
        </w:rPr>
      </w:pPr>
      <w:r w:rsidRPr="006869D1">
        <w:rPr>
          <w:sz w:val="28"/>
          <w:szCs w:val="28"/>
        </w:rPr>
        <w:t>Chủ trương phân cấp, phân quyền triệt để về Ủy ban nhân dân cấp tỉnh (trong cấp Giấy phép xuất/nhập khẩu hóa chất cần kiểm soát đặc biệt, cấp Giấy chứng nhận đủ điều kiện) được các địa phương và doanh nghiệp đánh giá rất cao. Việc này đã cắt giảm đầu mối trung gian, rút ngắn thời gian xử lý hồ sơ, giảm chi phí đi lại và tăng tính chủ động cho địa phương.</w:t>
      </w:r>
    </w:p>
    <w:p w14:paraId="0DE6AEE9" w14:textId="77777777" w:rsidR="006869D1" w:rsidRPr="006869D1" w:rsidRDefault="006869D1" w:rsidP="006869D1">
      <w:pPr>
        <w:spacing w:before="120" w:after="120" w:line="22" w:lineRule="atLeast"/>
        <w:ind w:firstLine="720"/>
        <w:jc w:val="both"/>
        <w:rPr>
          <w:sz w:val="28"/>
          <w:szCs w:val="28"/>
        </w:rPr>
      </w:pPr>
      <w:r w:rsidRPr="006869D1">
        <w:rPr>
          <w:sz w:val="28"/>
          <w:szCs w:val="28"/>
        </w:rPr>
        <w:t>Việc áp dụng các cơ chế miễn trừ cấp phép, miễn trừ khai báo đối với hóa chất có mức độ rủi ro thấp đã giúp giảm bớt gánh nặng thủ tục hành chính, tối ưu hóa quy trình xuất nhập khẩu và sản xuất.</w:t>
      </w:r>
    </w:p>
    <w:p w14:paraId="65D0DA1D" w14:textId="77777777" w:rsidR="006869D1" w:rsidRPr="006869D1" w:rsidRDefault="006869D1" w:rsidP="006869D1">
      <w:pPr>
        <w:spacing w:before="120" w:after="120" w:line="22" w:lineRule="atLeast"/>
        <w:ind w:firstLine="720"/>
        <w:jc w:val="both"/>
        <w:rPr>
          <w:sz w:val="28"/>
          <w:szCs w:val="28"/>
        </w:rPr>
      </w:pPr>
      <w:r w:rsidRPr="006869D1">
        <w:rPr>
          <w:sz w:val="28"/>
          <w:szCs w:val="28"/>
        </w:rPr>
        <w:t>1.3. Thúc đẩy mạnh mẽ Chuyển đổi số và Chính phủ điện tử</w:t>
      </w:r>
    </w:p>
    <w:p w14:paraId="184C7097" w14:textId="77777777" w:rsidR="006869D1" w:rsidRPr="006869D1" w:rsidRDefault="006869D1" w:rsidP="006869D1">
      <w:pPr>
        <w:spacing w:before="120" w:after="120" w:line="22" w:lineRule="atLeast"/>
        <w:ind w:firstLine="720"/>
        <w:jc w:val="both"/>
        <w:rPr>
          <w:sz w:val="28"/>
          <w:szCs w:val="28"/>
        </w:rPr>
      </w:pPr>
      <w:r w:rsidRPr="006869D1">
        <w:rPr>
          <w:sz w:val="28"/>
          <w:szCs w:val="28"/>
        </w:rPr>
        <w:t>Đưa dữ liệu trở thành tư liệu sản xuất chính thông qua việc xây dựng và vận hành Cơ sở dữ liệu chuyên ngành hóa chất quốc gia. Việc áp dụng dịch vụ công trực tuyến mức độ 3, 4, liên thông Cổng thông tin một cửa quốc gia, khai báo và cấp phép điện tử đã làm đơn giản hóa TTHC, nâng cao tính công khai, minh bạch.</w:t>
      </w:r>
    </w:p>
    <w:p w14:paraId="47881377" w14:textId="77777777" w:rsidR="006869D1" w:rsidRPr="006869D1" w:rsidRDefault="006869D1" w:rsidP="006869D1">
      <w:pPr>
        <w:spacing w:before="120" w:after="120" w:line="22" w:lineRule="atLeast"/>
        <w:ind w:firstLine="720"/>
        <w:jc w:val="both"/>
        <w:rPr>
          <w:sz w:val="28"/>
          <w:szCs w:val="28"/>
        </w:rPr>
      </w:pPr>
      <w:r w:rsidRPr="006869D1">
        <w:rPr>
          <w:sz w:val="28"/>
          <w:szCs w:val="28"/>
        </w:rPr>
        <w:lastRenderedPageBreak/>
        <w:t>Làm sạch môi trường thương mại điện tử: Có sự phối hợp hiệu quả trong việc giám sát hàng chục ngàn nền tảng bán hàng trực tuyến, qua đó phát hiện, gỡ bỏ và xử lý hàng vạn sản phẩm, gian hàng vi phạm quy định về kinh doanh hóa chất có điều kiện, hàng giả, hàng không rõ nguồn gốc.</w:t>
      </w:r>
    </w:p>
    <w:p w14:paraId="4A5FA86D" w14:textId="77777777" w:rsidR="006869D1" w:rsidRPr="006869D1" w:rsidRDefault="006869D1" w:rsidP="006869D1">
      <w:pPr>
        <w:spacing w:before="120" w:after="120" w:line="22" w:lineRule="atLeast"/>
        <w:ind w:firstLine="720"/>
        <w:jc w:val="both"/>
        <w:rPr>
          <w:sz w:val="28"/>
          <w:szCs w:val="28"/>
        </w:rPr>
      </w:pPr>
      <w:r w:rsidRPr="006869D1">
        <w:rPr>
          <w:sz w:val="28"/>
          <w:szCs w:val="28"/>
        </w:rPr>
        <w:t>1.4. Tác động tích cực về xã hội, bảo đảm an toàn, an ninh và phát triển bền vững</w:t>
      </w:r>
    </w:p>
    <w:p w14:paraId="52CD4286" w14:textId="77777777" w:rsidR="006869D1" w:rsidRPr="006869D1" w:rsidRDefault="006869D1" w:rsidP="006869D1">
      <w:pPr>
        <w:spacing w:before="120" w:after="120" w:line="22" w:lineRule="atLeast"/>
        <w:ind w:firstLine="720"/>
        <w:jc w:val="both"/>
        <w:rPr>
          <w:sz w:val="28"/>
          <w:szCs w:val="28"/>
        </w:rPr>
      </w:pPr>
      <w:r w:rsidRPr="006869D1">
        <w:rPr>
          <w:sz w:val="28"/>
          <w:szCs w:val="28"/>
        </w:rPr>
        <w:t>Kiểm soát chặt chẽ an toàn, an ninh hóa chất: Việc quản lý nghiêm ngặt tiền chất công nghiệp và tiền chất thuốc nổ (có sự phối hợp định danh, truy xuất với cơ quan Công an) đã ngăn chặn hiệu quả nguy cơ thất thoát để sản xuất ma túy hoặc sử dụng vào các mục đích bất hợp pháp, giữ vững an ninh trật tự xã hội.</w:t>
      </w:r>
    </w:p>
    <w:p w14:paraId="277E0239" w14:textId="77777777" w:rsidR="006869D1" w:rsidRPr="006869D1" w:rsidRDefault="006869D1" w:rsidP="006869D1">
      <w:pPr>
        <w:spacing w:before="120" w:after="120" w:line="22" w:lineRule="atLeast"/>
        <w:ind w:firstLine="720"/>
        <w:jc w:val="both"/>
        <w:rPr>
          <w:sz w:val="28"/>
          <w:szCs w:val="28"/>
        </w:rPr>
      </w:pPr>
      <w:r w:rsidRPr="006869D1">
        <w:rPr>
          <w:sz w:val="28"/>
          <w:szCs w:val="28"/>
        </w:rPr>
        <w:t>Thực thi nghiêm túc các Điều ước quốc tế: Các quy định mới giúp Việt Nam tuân thủ đầy đủ cam kết tại Công ước Cấm vũ khí hóa học (CWC), Công ước Minamata, Rotterdam, Stockholm, đảm bảo hóa chất độc hại được sử dụng đúng mục đích hòa bình.</w:t>
      </w:r>
    </w:p>
    <w:p w14:paraId="2827FBA2" w14:textId="77777777" w:rsidR="006869D1" w:rsidRPr="006869D1" w:rsidRDefault="006869D1" w:rsidP="006869D1">
      <w:pPr>
        <w:spacing w:before="120" w:after="120" w:line="22" w:lineRule="atLeast"/>
        <w:ind w:firstLine="720"/>
        <w:jc w:val="both"/>
        <w:rPr>
          <w:sz w:val="28"/>
          <w:szCs w:val="28"/>
        </w:rPr>
      </w:pPr>
      <w:r w:rsidRPr="006869D1">
        <w:rPr>
          <w:sz w:val="28"/>
          <w:szCs w:val="28"/>
        </w:rPr>
        <w:t>Nâng cao chất lượng nguồn nhân lực và ý thức tuân thủ: Việc chuẩn hóa tiêu chuẩn bằng cấp (Đại học/Trung cấp) đối với người phụ trách an toàn hóa chất đã cải thiện chất lượng nhân sự ngành. Nhận thức của người đứng đầu doanh nghiệp và cộng đồng về an toàn hóa chất, phòng ngừa ứng phó sự cố, phân loại và ghi nhãn hóa chất được nâng lên rõ rệt; nhiều địa phương chưa phát hiện vụ việc mất an toàn hóa chất nghiêm trọng</w:t>
      </w:r>
    </w:p>
    <w:p w14:paraId="2067F541"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2. Những hạn chế và quy định chưa phù hợp thực tiễn</w:t>
      </w:r>
    </w:p>
    <w:p w14:paraId="5270E2DC" w14:textId="77777777" w:rsidR="006869D1" w:rsidRPr="006869D1" w:rsidRDefault="006869D1" w:rsidP="006869D1">
      <w:pPr>
        <w:spacing w:before="120" w:after="120" w:line="22" w:lineRule="atLeast"/>
        <w:ind w:firstLine="720"/>
        <w:jc w:val="both"/>
        <w:rPr>
          <w:sz w:val="28"/>
          <w:szCs w:val="28"/>
        </w:rPr>
      </w:pPr>
      <w:r w:rsidRPr="006869D1">
        <w:rPr>
          <w:sz w:val="28"/>
          <w:szCs w:val="28"/>
        </w:rPr>
        <w:t>Qua thực tiễn triển khai, bên cạnh những kết quả đạt được, nhiều Bộ, ngành, địa phương và cộng đồng doanh nghiệp đánh giá Nghị định số 26/2026/NĐ-CP vẫn còn một số quy định bộc lộ sự bất cập, chưa sát với thực tiễn, tạo ra gánh nặng tuân thủ và gây lúng túng trong công tác quản lý. Cụ thể như sau:</w:t>
      </w:r>
    </w:p>
    <w:p w14:paraId="4FBBFF3E" w14:textId="77777777" w:rsidR="006869D1" w:rsidRPr="006869D1" w:rsidRDefault="006869D1" w:rsidP="006869D1">
      <w:pPr>
        <w:spacing w:before="120" w:after="120" w:line="22" w:lineRule="atLeast"/>
        <w:ind w:firstLine="720"/>
        <w:jc w:val="both"/>
        <w:rPr>
          <w:sz w:val="28"/>
          <w:szCs w:val="28"/>
        </w:rPr>
      </w:pPr>
      <w:r w:rsidRPr="006869D1">
        <w:rPr>
          <w:sz w:val="28"/>
          <w:szCs w:val="28"/>
        </w:rPr>
        <w:t>2.1. Sự chồng chéo, lặp lại với các văn bản quy phạm pháp luật khác</w:t>
      </w:r>
    </w:p>
    <w:p w14:paraId="7A3BC7E2" w14:textId="406E94CA" w:rsidR="006869D1" w:rsidRPr="006869D1" w:rsidRDefault="006869D1" w:rsidP="006869D1">
      <w:pPr>
        <w:spacing w:before="120" w:after="120" w:line="22" w:lineRule="atLeast"/>
        <w:ind w:firstLine="720"/>
        <w:jc w:val="both"/>
        <w:rPr>
          <w:sz w:val="28"/>
          <w:szCs w:val="28"/>
        </w:rPr>
      </w:pPr>
      <w:r w:rsidRPr="006869D1">
        <w:rPr>
          <w:sz w:val="28"/>
          <w:szCs w:val="28"/>
        </w:rPr>
        <w:t>Trùng lặp nội tại: Nhiều điều khoản tại Nghị định 26</w:t>
      </w:r>
      <w:r w:rsidR="00566C49">
        <w:rPr>
          <w:sz w:val="28"/>
          <w:szCs w:val="28"/>
        </w:rPr>
        <w:t>/2026/NĐ-CP</w:t>
      </w:r>
      <w:r w:rsidRPr="006869D1">
        <w:rPr>
          <w:sz w:val="28"/>
          <w:szCs w:val="28"/>
        </w:rPr>
        <w:t xml:space="preserve"> (như Điều 7, 8, 11, 12, 16, 19) đang dẫn chiếu, lặp lại các yêu cầu về điều kiện an toàn, nhà xưởng, kho bãi vốn đã được quy định chi tiết và tập trung tại Chương V của Nghị định số 25/2026/NĐ-CP,. Điều này làm văn bản trở nên rườm rà, gây khó khăn cho việc tra cứu và áp dụng thống nhất.</w:t>
      </w:r>
    </w:p>
    <w:p w14:paraId="62702B8D" w14:textId="77777777" w:rsidR="006869D1" w:rsidRPr="006869D1" w:rsidRDefault="006869D1" w:rsidP="006869D1">
      <w:pPr>
        <w:spacing w:before="120" w:after="120" w:line="22" w:lineRule="atLeast"/>
        <w:ind w:firstLine="720"/>
        <w:jc w:val="both"/>
        <w:rPr>
          <w:sz w:val="28"/>
          <w:szCs w:val="28"/>
        </w:rPr>
      </w:pPr>
      <w:r w:rsidRPr="006869D1">
        <w:rPr>
          <w:sz w:val="28"/>
          <w:szCs w:val="28"/>
        </w:rPr>
        <w:t>Chồng chéo với pháp luật chuyên ngành:</w:t>
      </w:r>
    </w:p>
    <w:p w14:paraId="0443A335" w14:textId="77777777" w:rsidR="006869D1" w:rsidRPr="006869D1" w:rsidRDefault="006869D1" w:rsidP="006869D1">
      <w:pPr>
        <w:spacing w:before="120" w:after="120" w:line="22" w:lineRule="atLeast"/>
        <w:ind w:firstLine="720"/>
        <w:jc w:val="both"/>
        <w:rPr>
          <w:sz w:val="28"/>
          <w:szCs w:val="28"/>
        </w:rPr>
      </w:pPr>
      <w:r w:rsidRPr="006869D1">
        <w:rPr>
          <w:sz w:val="28"/>
          <w:szCs w:val="28"/>
        </w:rPr>
        <w:t>Với Luật Dược: Quy định yêu cầu khai báo hóa chất nhập khẩu đang giao thoa với pháp luật về Dược đối với nguyên liệu làm thuốc nhập khẩu, do chưa có quy định loại trừ hoặc hướng dẫn áp dụng thống nhất, gây lúng túng cho hải quan và doanh nghiệp,.</w:t>
      </w:r>
    </w:p>
    <w:p w14:paraId="31D8D9B5" w14:textId="4FED60F8" w:rsidR="006869D1" w:rsidRPr="006869D1" w:rsidRDefault="006869D1" w:rsidP="006869D1">
      <w:pPr>
        <w:spacing w:before="120" w:after="120" w:line="22" w:lineRule="atLeast"/>
        <w:ind w:firstLine="720"/>
        <w:jc w:val="both"/>
        <w:rPr>
          <w:sz w:val="28"/>
          <w:szCs w:val="28"/>
        </w:rPr>
      </w:pPr>
      <w:r w:rsidRPr="006869D1">
        <w:rPr>
          <w:sz w:val="28"/>
          <w:szCs w:val="28"/>
        </w:rPr>
        <w:t xml:space="preserve">Với pháp luật Môi trường: Nghị định </w:t>
      </w:r>
      <w:r w:rsidR="00566C49" w:rsidRPr="006869D1">
        <w:rPr>
          <w:sz w:val="28"/>
          <w:szCs w:val="28"/>
        </w:rPr>
        <w:t>26</w:t>
      </w:r>
      <w:r w:rsidR="00566C49">
        <w:rPr>
          <w:sz w:val="28"/>
          <w:szCs w:val="28"/>
        </w:rPr>
        <w:t>/2026/NĐ-CP</w:t>
      </w:r>
      <w:r w:rsidRPr="006869D1">
        <w:rPr>
          <w:sz w:val="28"/>
          <w:szCs w:val="28"/>
        </w:rPr>
        <w:t xml:space="preserve"> xác định “chất độc” theo tiêu chí phân loại của GHS, trong khi pháp luật về bảo vệ môi trường sử dụng thuật ngữ “hóa chất độc”, “hóa chất độc hại” nhưng chưa có hướng dẫn liên ngành để đối chiếu, gây khó khăn trong xác định mức độ tác động môi trường của dự án.</w:t>
      </w:r>
    </w:p>
    <w:p w14:paraId="6724CA18" w14:textId="77777777" w:rsidR="006869D1" w:rsidRPr="006869D1" w:rsidRDefault="006869D1" w:rsidP="006869D1">
      <w:pPr>
        <w:spacing w:before="120" w:after="120" w:line="22" w:lineRule="atLeast"/>
        <w:ind w:firstLine="720"/>
        <w:jc w:val="both"/>
        <w:rPr>
          <w:sz w:val="28"/>
          <w:szCs w:val="28"/>
        </w:rPr>
      </w:pPr>
      <w:r w:rsidRPr="006869D1">
        <w:rPr>
          <w:sz w:val="28"/>
          <w:szCs w:val="28"/>
        </w:rPr>
        <w:lastRenderedPageBreak/>
        <w:t>Với pháp luật Nông nghiệp và Xây dựng: Có sự giao thoa về phạm vi quản lý vật tư nông nghiệp (Luật Trồng trọt, Chăn nuôi, Thủy sản). Đồng thời, việc giao Bộ Xây dựng ban hành quy chuẩn kỹ thuật về vận chuyển hóa chất nguy hiểm là chưa phù hợp thực tế và trái thẩm quyền của ngành Công Thương và Giao thông Vận tải.</w:t>
      </w:r>
    </w:p>
    <w:p w14:paraId="0969F6A7" w14:textId="77777777" w:rsidR="006869D1" w:rsidRPr="006869D1" w:rsidRDefault="006869D1" w:rsidP="006869D1">
      <w:pPr>
        <w:spacing w:before="120" w:after="120" w:line="22" w:lineRule="atLeast"/>
        <w:ind w:firstLine="720"/>
        <w:jc w:val="both"/>
        <w:rPr>
          <w:sz w:val="28"/>
          <w:szCs w:val="28"/>
        </w:rPr>
      </w:pPr>
      <w:r w:rsidRPr="006869D1">
        <w:rPr>
          <w:sz w:val="28"/>
          <w:szCs w:val="28"/>
        </w:rPr>
        <w:t>2.2. Bất cập về ngưỡng kiểm soát và cơ chế miễn trừ</w:t>
      </w:r>
    </w:p>
    <w:p w14:paraId="412828C7" w14:textId="756A240A" w:rsidR="006869D1" w:rsidRPr="006869D1" w:rsidRDefault="006869D1" w:rsidP="006869D1">
      <w:pPr>
        <w:spacing w:before="120" w:after="120" w:line="22" w:lineRule="atLeast"/>
        <w:ind w:firstLine="720"/>
        <w:jc w:val="both"/>
        <w:rPr>
          <w:sz w:val="28"/>
          <w:szCs w:val="28"/>
        </w:rPr>
      </w:pPr>
      <w:r w:rsidRPr="006869D1">
        <w:rPr>
          <w:sz w:val="28"/>
          <w:szCs w:val="28"/>
        </w:rPr>
        <w:t>Ngưỡng miễn trừ quá khắt khe: Đa số ý kiến thống nhất rằng ngưỡng miễn trừ đối với hỗn hợp chất có hàm lượng hóa chất kiểm soát &lt; 0,1% là quá thấp,</w:t>
      </w:r>
      <w:r w:rsidR="00566C49">
        <w:rPr>
          <w:sz w:val="28"/>
          <w:szCs w:val="28"/>
        </w:rPr>
        <w:t xml:space="preserve"> không sát thực tiễn</w:t>
      </w:r>
      <w:r w:rsidRPr="006869D1">
        <w:rPr>
          <w:sz w:val="28"/>
          <w:szCs w:val="28"/>
        </w:rPr>
        <w:t>. Quy định này tạo ra áp lực thủ tục hành chính khổng lồ không cần thiết đối với các sản phẩm có độ nguy hại không đáng kể,.</w:t>
      </w:r>
    </w:p>
    <w:p w14:paraId="3CB13867" w14:textId="77777777" w:rsidR="006869D1" w:rsidRPr="006869D1" w:rsidRDefault="006869D1" w:rsidP="006869D1">
      <w:pPr>
        <w:spacing w:before="120" w:after="120" w:line="22" w:lineRule="atLeast"/>
        <w:ind w:firstLine="720"/>
        <w:jc w:val="both"/>
        <w:rPr>
          <w:sz w:val="28"/>
          <w:szCs w:val="28"/>
        </w:rPr>
      </w:pPr>
      <w:r w:rsidRPr="006869D1">
        <w:rPr>
          <w:sz w:val="28"/>
          <w:szCs w:val="28"/>
        </w:rPr>
        <w:t>Sự mơ hồ trong định lượng "dưới 10kg": Việc miễn khai báo đối với trường hợp nhập khẩu "dưới 10 kg hóa chất" chưa xác định rõ là tính theo từng hóa chất, từng mặt hàng, từng tờ khai hải quan hay tổng khối lượng lô hàng, dẫn đến sự lúng túng và áp dụng không thống nhất tại các cơ quan Hải quan,.</w:t>
      </w:r>
    </w:p>
    <w:p w14:paraId="75CDA6A6" w14:textId="77777777" w:rsidR="006869D1" w:rsidRPr="006869D1" w:rsidRDefault="006869D1" w:rsidP="006869D1">
      <w:pPr>
        <w:spacing w:before="120" w:after="120" w:line="22" w:lineRule="atLeast"/>
        <w:ind w:firstLine="720"/>
        <w:jc w:val="both"/>
        <w:rPr>
          <w:sz w:val="28"/>
          <w:szCs w:val="28"/>
        </w:rPr>
      </w:pPr>
      <w:r w:rsidRPr="006869D1">
        <w:rPr>
          <w:sz w:val="28"/>
          <w:szCs w:val="28"/>
        </w:rPr>
        <w:t>Thiếu rõ ràng đối với sản phẩm thông dụng: Các địa phương phản ánh Nghị định chưa có quy định rõ ràng về việc miễn trừ đối với các sản phẩm tiêu dùng, bảo dưỡng thông dụng có chứa hóa chất (như dầu nhớt, nước làm mát, sơn, chất tẩy rửa tại các cơ sở sửa chữa ô tô, xe máy), gây khó khăn cho việc lưu thông hàng hóa,,.</w:t>
      </w:r>
    </w:p>
    <w:p w14:paraId="6D7F2956" w14:textId="77777777" w:rsidR="006869D1" w:rsidRPr="006869D1" w:rsidRDefault="006869D1" w:rsidP="006869D1">
      <w:pPr>
        <w:spacing w:before="120" w:after="120" w:line="22" w:lineRule="atLeast"/>
        <w:ind w:firstLine="720"/>
        <w:jc w:val="both"/>
        <w:rPr>
          <w:sz w:val="28"/>
          <w:szCs w:val="28"/>
        </w:rPr>
      </w:pPr>
      <w:r w:rsidRPr="006869D1">
        <w:rPr>
          <w:sz w:val="28"/>
          <w:szCs w:val="28"/>
        </w:rPr>
        <w:t>2.3. Quy định hồ sơ, thủ tục mang tính hình thức, gây gánh nặng hành chính</w:t>
      </w:r>
    </w:p>
    <w:p w14:paraId="4261ABF9" w14:textId="77777777" w:rsidR="006869D1" w:rsidRPr="006869D1" w:rsidRDefault="006869D1" w:rsidP="006869D1">
      <w:pPr>
        <w:spacing w:before="120" w:after="120" w:line="22" w:lineRule="atLeast"/>
        <w:ind w:firstLine="720"/>
        <w:jc w:val="both"/>
        <w:rPr>
          <w:sz w:val="28"/>
          <w:szCs w:val="28"/>
        </w:rPr>
      </w:pPr>
      <w:r w:rsidRPr="006869D1">
        <w:rPr>
          <w:sz w:val="28"/>
          <w:szCs w:val="28"/>
        </w:rPr>
        <w:t>Gánh nặng hồ sơ giấy: Mặc dù định hướng chuyển đổi số, việc vẫn yêu cầu nộp bản giấy Phiếu an toàn hóa chất (MSDS) trong hồ sơ cấp phép gây lãng phí chi phí in ấn, lưu trữ do dữ liệu đã có sẵn trên hệ thống quốc gia,.</w:t>
      </w:r>
    </w:p>
    <w:p w14:paraId="380F404E" w14:textId="77777777" w:rsidR="006869D1" w:rsidRPr="006869D1" w:rsidRDefault="006869D1" w:rsidP="006869D1">
      <w:pPr>
        <w:spacing w:before="120" w:after="120" w:line="22" w:lineRule="atLeast"/>
        <w:ind w:firstLine="720"/>
        <w:jc w:val="both"/>
        <w:rPr>
          <w:sz w:val="28"/>
          <w:szCs w:val="28"/>
        </w:rPr>
      </w:pPr>
      <w:r w:rsidRPr="006869D1">
        <w:rPr>
          <w:sz w:val="28"/>
          <w:szCs w:val="28"/>
        </w:rPr>
        <w:t>Ách tắc do yếu tố lịch sử công trình: Yêu cầu phải nộp "Thông báo kết quả kiểm tra công tác nghiệm thu công trình xây dựng" đang gây bế tắc cho nhiều cơ sở sản xuất có yếu tố lịch sử (được đầu tư xây dựng trước khi Luật Xây dựng năm 2014 có hiệu lực). Các doanh nghiệp này không thể đáp ứng hồ sơ này dù vẫn đang hoạt động ổn định và tuân thủ các quy định an toàn,.</w:t>
      </w:r>
    </w:p>
    <w:p w14:paraId="3C22C9CD" w14:textId="77777777" w:rsidR="006869D1" w:rsidRPr="006869D1" w:rsidRDefault="006869D1" w:rsidP="006869D1">
      <w:pPr>
        <w:spacing w:before="120" w:after="120" w:line="22" w:lineRule="atLeast"/>
        <w:ind w:firstLine="720"/>
        <w:jc w:val="both"/>
        <w:rPr>
          <w:sz w:val="28"/>
          <w:szCs w:val="28"/>
        </w:rPr>
      </w:pPr>
      <w:r w:rsidRPr="006869D1">
        <w:rPr>
          <w:sz w:val="28"/>
          <w:szCs w:val="28"/>
        </w:rPr>
        <w:t>Gánh nặng lập Phiếu kiểm soát mua bán: Việc bắt buộc lập Phiếu kiểm soát cho từng lần giao dịch đối với hóa chất cần kiểm soát đặc biệt tạo khối lượng công việc hành chính khổng lồ, đặc biệt bất hợp lý đối với các khách hàng thường xuyên mua bán liên tục theo hợp đồng nguyên tắc. Đồng thời, bên bán gặp khó khăn vì việc thu thập thông tin phụ thuộc vào bên mua, nhưng chưa có cơ chế ràng buộc trách nhiệm cung cấp thông tin của bên mua.</w:t>
      </w:r>
    </w:p>
    <w:p w14:paraId="1DA492AB" w14:textId="77777777" w:rsidR="006869D1" w:rsidRPr="006869D1" w:rsidRDefault="006869D1" w:rsidP="006869D1">
      <w:pPr>
        <w:spacing w:before="120" w:after="120" w:line="22" w:lineRule="atLeast"/>
        <w:ind w:firstLine="720"/>
        <w:jc w:val="both"/>
        <w:rPr>
          <w:sz w:val="28"/>
          <w:szCs w:val="28"/>
        </w:rPr>
      </w:pPr>
      <w:r w:rsidRPr="006869D1">
        <w:rPr>
          <w:sz w:val="28"/>
          <w:szCs w:val="28"/>
        </w:rPr>
        <w:t>2.4. Bất hợp lý về thời hạn giải quyết và hiệu lực giấy phép</w:t>
      </w:r>
    </w:p>
    <w:p w14:paraId="4D9B71C1" w14:textId="77777777" w:rsidR="006869D1" w:rsidRPr="006869D1" w:rsidRDefault="006869D1" w:rsidP="006869D1">
      <w:pPr>
        <w:spacing w:before="120" w:after="120" w:line="22" w:lineRule="atLeast"/>
        <w:ind w:firstLine="720"/>
        <w:jc w:val="both"/>
        <w:rPr>
          <w:sz w:val="28"/>
          <w:szCs w:val="28"/>
        </w:rPr>
      </w:pPr>
      <w:r w:rsidRPr="006869D1">
        <w:rPr>
          <w:sz w:val="28"/>
          <w:szCs w:val="28"/>
        </w:rPr>
        <w:t>Thời hạn công bố mục đích sử dụng: Quy định yêu cầu phải công bố loại hóa chất và mục đích sử dụng trên Cơ sở dữ liệu chuyên ngành trước 30 ngày khi đưa hóa chất vào sử dụng lần đầu là quá dài, thiếu linh hoạt, gây ách tắc và gián đoạn chuỗi cung ứng khi doanh nghiệp cần thay đổi đơn hàng đột xuất,.</w:t>
      </w:r>
    </w:p>
    <w:p w14:paraId="5F67C577" w14:textId="77777777" w:rsidR="006869D1" w:rsidRPr="006869D1" w:rsidRDefault="006869D1" w:rsidP="006869D1">
      <w:pPr>
        <w:spacing w:before="120" w:after="120" w:line="22" w:lineRule="atLeast"/>
        <w:ind w:firstLine="720"/>
        <w:jc w:val="both"/>
        <w:rPr>
          <w:sz w:val="28"/>
          <w:szCs w:val="28"/>
        </w:rPr>
      </w:pPr>
      <w:r w:rsidRPr="006869D1">
        <w:rPr>
          <w:sz w:val="28"/>
          <w:szCs w:val="28"/>
        </w:rPr>
        <w:lastRenderedPageBreak/>
        <w:t>Hiệu lực giấy phép quá ngắn: Giấy phép xuất, nhập khẩu hóa chất cần kiểm soát đặc biệt chỉ có thời hạn 06 tháng là chưa phù hợp với các hợp đồng cung ứng dài hạn và kế hoạch sản xuất năm của doanh nghiệp.</w:t>
      </w:r>
    </w:p>
    <w:p w14:paraId="2B0F4398" w14:textId="77777777" w:rsidR="006869D1" w:rsidRPr="006869D1" w:rsidRDefault="006869D1" w:rsidP="006869D1">
      <w:pPr>
        <w:spacing w:before="120" w:after="120" w:line="22" w:lineRule="atLeast"/>
        <w:ind w:firstLine="720"/>
        <w:jc w:val="both"/>
        <w:rPr>
          <w:sz w:val="28"/>
          <w:szCs w:val="28"/>
        </w:rPr>
      </w:pPr>
      <w:r w:rsidRPr="006869D1">
        <w:rPr>
          <w:sz w:val="28"/>
          <w:szCs w:val="28"/>
        </w:rPr>
        <w:t>Thời gian xử lý TTHC dài: Thời hạn thẩm định đăng ký hóa chất mới lên tới 90 ngày làm việc được đánh giá là quá dài, làm giảm khả năng cạnh tranh và đổi mới sáng tạo của doanh nghiệp,. Việc lấy ý kiến Bộ Công an (03 ngày) khi xuất khẩu tiền chất công nghiệp lại quá ngắn, gây khó khăn cho cơ quan cấp phép do không có quy định hướng xử lý nếu Bộ Công an chậm trả lời,.</w:t>
      </w:r>
    </w:p>
    <w:p w14:paraId="03A0DE23" w14:textId="77777777" w:rsidR="006869D1" w:rsidRPr="006869D1" w:rsidRDefault="006869D1" w:rsidP="006869D1">
      <w:pPr>
        <w:spacing w:before="120" w:after="120" w:line="22" w:lineRule="atLeast"/>
        <w:ind w:firstLine="720"/>
        <w:jc w:val="both"/>
        <w:rPr>
          <w:sz w:val="28"/>
          <w:szCs w:val="28"/>
        </w:rPr>
      </w:pPr>
      <w:r w:rsidRPr="006869D1">
        <w:rPr>
          <w:sz w:val="28"/>
          <w:szCs w:val="28"/>
        </w:rPr>
        <w:t>2.5. Thiếu cơ chế linh hoạt cho hoạt động nghiên cứu (R&amp;D) và quy mô đặc thù</w:t>
      </w:r>
    </w:p>
    <w:p w14:paraId="4D7695DE" w14:textId="4A4D5BBB" w:rsidR="006869D1" w:rsidRPr="006869D1" w:rsidRDefault="006869D1" w:rsidP="006869D1">
      <w:pPr>
        <w:spacing w:before="120" w:after="120" w:line="22" w:lineRule="atLeast"/>
        <w:ind w:firstLine="720"/>
        <w:jc w:val="both"/>
        <w:rPr>
          <w:sz w:val="28"/>
          <w:szCs w:val="28"/>
        </w:rPr>
      </w:pPr>
      <w:r w:rsidRPr="006869D1">
        <w:rPr>
          <w:sz w:val="28"/>
          <w:szCs w:val="28"/>
        </w:rPr>
        <w:t>Rào cản cho phòng thí nghiệm: Các hóa chất dùng để phân tích, thí nghiệm thường có khối lượng rất nhỏ (gram, miligram) nhưng đa dạng chủng loại. Việc bắt buộc áp dụng đầy đủ các thủ tục công bố, khai báo, lập phiếu kiểm soát như lô hàng công nghiệp làm kéo dài thời gian, gây khan hiếm cục bộ và cản tr</w:t>
      </w:r>
      <w:r w:rsidR="001F5940">
        <w:rPr>
          <w:sz w:val="28"/>
          <w:szCs w:val="28"/>
        </w:rPr>
        <w:t>ở hoạt động nghiên cứu khoa học</w:t>
      </w:r>
      <w:r w:rsidRPr="006869D1">
        <w:rPr>
          <w:sz w:val="28"/>
          <w:szCs w:val="28"/>
        </w:rPr>
        <w:t>.</w:t>
      </w:r>
    </w:p>
    <w:p w14:paraId="5960457B" w14:textId="77777777" w:rsidR="006869D1" w:rsidRPr="006869D1" w:rsidRDefault="006869D1" w:rsidP="006869D1">
      <w:pPr>
        <w:spacing w:before="120" w:after="120" w:line="22" w:lineRule="atLeast"/>
        <w:ind w:firstLine="720"/>
        <w:jc w:val="both"/>
        <w:rPr>
          <w:sz w:val="28"/>
          <w:szCs w:val="28"/>
        </w:rPr>
      </w:pPr>
      <w:r w:rsidRPr="006869D1">
        <w:rPr>
          <w:sz w:val="28"/>
          <w:szCs w:val="28"/>
        </w:rPr>
        <w:t>Bất cập trong chu trình khép kín: Quy định chưa có cơ chế giảm thủ tục tương ứng cho nguyên liệu nhập khẩu ở dạng khối (ví dụ: chì thỏi dùng sản xuất pin, ắc quy trong dây chuyền khép kín), khiến chúng bị xếp vào danh mục kiểm soát đặc biệt và phải xin phép theo từng hồ sơ, không phân biệt trạng thái vật lý.</w:t>
      </w:r>
    </w:p>
    <w:p w14:paraId="5D5665BC" w14:textId="77777777" w:rsidR="006869D1" w:rsidRPr="006869D1" w:rsidRDefault="006869D1" w:rsidP="006869D1">
      <w:pPr>
        <w:spacing w:before="120" w:after="120" w:line="22" w:lineRule="atLeast"/>
        <w:ind w:firstLine="720"/>
        <w:jc w:val="both"/>
        <w:rPr>
          <w:sz w:val="28"/>
          <w:szCs w:val="28"/>
        </w:rPr>
      </w:pPr>
      <w:r w:rsidRPr="006869D1">
        <w:rPr>
          <w:sz w:val="28"/>
          <w:szCs w:val="28"/>
        </w:rPr>
        <w:t>2.6. Bất cập về tiêu chuẩn nhân sự và lỗ hổng pháp lý trong tổ chức thực hiện</w:t>
      </w:r>
    </w:p>
    <w:p w14:paraId="5689C645" w14:textId="65532DB5" w:rsidR="006869D1" w:rsidRPr="006869D1" w:rsidRDefault="006869D1" w:rsidP="006869D1">
      <w:pPr>
        <w:spacing w:before="120" w:after="120" w:line="22" w:lineRule="atLeast"/>
        <w:ind w:firstLine="720"/>
        <w:jc w:val="both"/>
        <w:rPr>
          <w:sz w:val="28"/>
          <w:szCs w:val="28"/>
        </w:rPr>
      </w:pPr>
      <w:r w:rsidRPr="006869D1">
        <w:rPr>
          <w:sz w:val="28"/>
          <w:szCs w:val="28"/>
        </w:rPr>
        <w:t>Mâu thuẫn thuật ngữ chuyên môn: Có sự thiếu đồng bộ khi quy định điều kiện chung yêu cầu "trình độ chuyên môn phù hợp" (rất khó định lượng), nhưng thành phần hồ sơ lại cứng nhắc yêu cầu "Bằng đại học/trung cấp chuyên ngành hóa học". Cách gọi này cũng mâu thuẫn với thuật ngữ "Cử nhân" được sử dụng tại Danh mục đào tạo thuộc Nghị định số 25/2026/NĐ-CP</w:t>
      </w:r>
      <w:r w:rsidR="001F5940">
        <w:rPr>
          <w:sz w:val="28"/>
          <w:szCs w:val="28"/>
        </w:rPr>
        <w:t>, gây nhầm lẫn cho doanh nghiệp</w:t>
      </w:r>
      <w:r w:rsidRPr="006869D1">
        <w:rPr>
          <w:sz w:val="28"/>
          <w:szCs w:val="28"/>
        </w:rPr>
        <w:t>.</w:t>
      </w:r>
    </w:p>
    <w:p w14:paraId="7E883142" w14:textId="77777777" w:rsidR="006869D1" w:rsidRPr="006869D1" w:rsidRDefault="006869D1" w:rsidP="006869D1">
      <w:pPr>
        <w:spacing w:before="120" w:after="120" w:line="22" w:lineRule="atLeast"/>
        <w:ind w:firstLine="720"/>
        <w:jc w:val="both"/>
        <w:rPr>
          <w:sz w:val="28"/>
          <w:szCs w:val="28"/>
        </w:rPr>
      </w:pPr>
      <w:r w:rsidRPr="006869D1">
        <w:rPr>
          <w:sz w:val="28"/>
          <w:szCs w:val="28"/>
        </w:rPr>
        <w:t>Lỗ hổng xử lý sau thu hồi giấy phép: Cơ quan Thanh tra chỉ ra rằng Nghị định thiếu vắng quy định buộc tổ chức, cá nhân phải chấm dứt ngay hoạt động sản xuất, kinh doanh kể từ ngày nhận được Quyết định thu hồi Giấy phép, dẫn đến tình trạng doanh nghiệp vẫn tiếp tục hoạt động trái phép trong thời gian chờ đợi.</w:t>
      </w:r>
    </w:p>
    <w:p w14:paraId="49D6BC45" w14:textId="77777777" w:rsidR="006869D1" w:rsidRPr="006869D1" w:rsidRDefault="006869D1" w:rsidP="006869D1">
      <w:pPr>
        <w:spacing w:before="120" w:after="120" w:line="22" w:lineRule="atLeast"/>
        <w:ind w:firstLine="720"/>
        <w:jc w:val="both"/>
        <w:rPr>
          <w:sz w:val="28"/>
          <w:szCs w:val="28"/>
        </w:rPr>
      </w:pPr>
      <w:r w:rsidRPr="006869D1">
        <w:rPr>
          <w:sz w:val="28"/>
          <w:szCs w:val="28"/>
        </w:rPr>
        <w:t>Hiệu lực thi hành quá gấp: Việc Nghị định có hiệu lực thi hành ngay kể từ ngày ký ban hành (17/01/2026) mà không có khoảng thời gian chuyển tiếp hợp lý đã khiến các cơ quan quản lý và doanh nghiệp rơi vào thế bị động, lúng túng và dễ xảy ra sai sót trong quá trình áp dụng</w:t>
      </w:r>
    </w:p>
    <w:p w14:paraId="3C7AA79E"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3. Các quy định chồng chéo với văn bản pháp luật khác</w:t>
      </w:r>
    </w:p>
    <w:p w14:paraId="487D2B1E" w14:textId="77777777" w:rsidR="0001237D" w:rsidRPr="0001237D" w:rsidRDefault="0001237D" w:rsidP="0001237D">
      <w:pPr>
        <w:spacing w:before="120" w:after="120" w:line="22" w:lineRule="atLeast"/>
        <w:ind w:firstLine="720"/>
        <w:jc w:val="both"/>
        <w:rPr>
          <w:sz w:val="28"/>
          <w:szCs w:val="28"/>
        </w:rPr>
      </w:pPr>
      <w:r w:rsidRPr="0001237D">
        <w:rPr>
          <w:sz w:val="28"/>
          <w:szCs w:val="28"/>
        </w:rPr>
        <w:t>Chồng chéo với Nghị định 25/2026/NĐ-CP về điều kiện an toàn kho bãi.</w:t>
      </w:r>
    </w:p>
    <w:p w14:paraId="04EC0C1F" w14:textId="77777777" w:rsidR="0001237D" w:rsidRPr="0001237D" w:rsidRDefault="0001237D" w:rsidP="0001237D">
      <w:pPr>
        <w:spacing w:before="120" w:after="120" w:line="22" w:lineRule="atLeast"/>
        <w:ind w:firstLine="720"/>
        <w:jc w:val="both"/>
        <w:rPr>
          <w:sz w:val="28"/>
          <w:szCs w:val="28"/>
        </w:rPr>
      </w:pPr>
      <w:r w:rsidRPr="0001237D">
        <w:rPr>
          <w:sz w:val="28"/>
          <w:szCs w:val="28"/>
        </w:rPr>
        <w:t>Chồng chéo với pháp luật An toàn vệ sinh lao động về nội dung huấn luyện an toàn.</w:t>
      </w:r>
    </w:p>
    <w:p w14:paraId="6E99BC27" w14:textId="77777777" w:rsidR="0001237D" w:rsidRPr="0001237D" w:rsidRDefault="0001237D" w:rsidP="0001237D">
      <w:pPr>
        <w:spacing w:before="120" w:after="120" w:line="22" w:lineRule="atLeast"/>
        <w:ind w:firstLine="720"/>
        <w:jc w:val="both"/>
        <w:rPr>
          <w:sz w:val="28"/>
          <w:szCs w:val="28"/>
        </w:rPr>
      </w:pPr>
      <w:r w:rsidRPr="0001237D">
        <w:rPr>
          <w:sz w:val="28"/>
          <w:szCs w:val="28"/>
        </w:rPr>
        <w:t>Chồng chéo với Luật Dược trong quản lý nguyên liệu nhập khẩu.</w:t>
      </w:r>
    </w:p>
    <w:p w14:paraId="1AD41B88" w14:textId="77777777" w:rsidR="0001237D" w:rsidRPr="0001237D" w:rsidRDefault="0001237D" w:rsidP="0001237D">
      <w:pPr>
        <w:spacing w:before="120" w:after="120" w:line="22" w:lineRule="atLeast"/>
        <w:ind w:firstLine="720"/>
        <w:jc w:val="both"/>
        <w:rPr>
          <w:sz w:val="28"/>
          <w:szCs w:val="28"/>
        </w:rPr>
      </w:pPr>
      <w:r w:rsidRPr="0001237D">
        <w:rPr>
          <w:sz w:val="28"/>
          <w:szCs w:val="28"/>
        </w:rPr>
        <w:lastRenderedPageBreak/>
        <w:t>Chồng chéo với Luật Xây dựng trong yêu cầu nghiệm thu công trình cũ.</w:t>
      </w:r>
    </w:p>
    <w:p w14:paraId="5630F185"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VI. ĐỀ XUẤT, KIẾN NGHỊ</w:t>
      </w:r>
    </w:p>
    <w:p w14:paraId="2EAE4F3D"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1. Kiến nghị sửa đổi, bổ sung Nghị định số 26/2026/NĐ-CP</w:t>
      </w:r>
    </w:p>
    <w:p w14:paraId="574B1465" w14:textId="77777777" w:rsidR="006869D1" w:rsidRPr="006869D1" w:rsidRDefault="006869D1" w:rsidP="006869D1">
      <w:pPr>
        <w:spacing w:before="120" w:after="120" w:line="22" w:lineRule="atLeast"/>
        <w:ind w:firstLine="720"/>
        <w:jc w:val="both"/>
        <w:rPr>
          <w:sz w:val="28"/>
          <w:szCs w:val="28"/>
        </w:rPr>
      </w:pPr>
      <w:r w:rsidRPr="006869D1">
        <w:rPr>
          <w:sz w:val="28"/>
          <w:szCs w:val="28"/>
        </w:rPr>
        <w:t>Trên cơ sở nhận diện các khó khăn, vướng mắc trong thực tiễn thi hành, nhằm đẩy mạnh cải cách hành chính, tháo gỡ điểm nghẽn cho doanh nghiệp và bảo đảm tính thống nhất, đồng bộ của hệ thống pháp luật, nhiều Bộ, ngành, địa phương và cộng đồng doanh nghiệp kiến nghị Chính phủ xem xét sửa đổi, bổ sung Nghị định số 26/2026/NĐ-CP với các định hướng trọng tâm sau:</w:t>
      </w:r>
    </w:p>
    <w:p w14:paraId="765A5223" w14:textId="77777777" w:rsidR="006869D1" w:rsidRPr="006869D1" w:rsidRDefault="006869D1" w:rsidP="006869D1">
      <w:pPr>
        <w:spacing w:before="120" w:after="120" w:line="22" w:lineRule="atLeast"/>
        <w:ind w:firstLine="720"/>
        <w:jc w:val="both"/>
        <w:rPr>
          <w:sz w:val="28"/>
          <w:szCs w:val="28"/>
        </w:rPr>
      </w:pPr>
      <w:r w:rsidRPr="006869D1">
        <w:rPr>
          <w:sz w:val="28"/>
          <w:szCs w:val="28"/>
        </w:rPr>
        <w:t>1.1. Cắt giảm, đơn giản hóa hồ sơ và thủ tục hành chính</w:t>
      </w:r>
    </w:p>
    <w:p w14:paraId="020DF4B1" w14:textId="77777777" w:rsidR="006869D1" w:rsidRPr="006869D1" w:rsidRDefault="006869D1" w:rsidP="006869D1">
      <w:pPr>
        <w:spacing w:before="120" w:after="120" w:line="22" w:lineRule="atLeast"/>
        <w:ind w:firstLine="720"/>
        <w:jc w:val="both"/>
        <w:rPr>
          <w:sz w:val="28"/>
          <w:szCs w:val="28"/>
        </w:rPr>
      </w:pPr>
      <w:r w:rsidRPr="006869D1">
        <w:rPr>
          <w:sz w:val="28"/>
          <w:szCs w:val="28"/>
        </w:rPr>
        <w:t>Bãi bỏ các thành phần hồ sơ giấy dư thừa: Đa số ý kiến đề nghị bãi bỏ yêu cầu nộp bản giấy Phiếu an toàn hóa chất (MSDS) trong hồ sơ cấp phép, thay vào đó cơ quan quản lý khai thác trực tiếp trên Cơ sở dữ liệu hóa chất quốc gia. Đồng thời, bãi bỏ yêu cầu nộp "Thông báo kết quả kiểm tra công tác nghiệm thu công trình xây dựng", cần có cơ chế chuyển tiếp hoặc tài liệu thay thế tương đương đối với các cơ sở sản xuất có yếu tố lịch sử được đầu tư, xây dựng trước khi Luật Xây dựng 2014 có hiệu lực.</w:t>
      </w:r>
    </w:p>
    <w:p w14:paraId="6C70D409" w14:textId="77777777" w:rsidR="006869D1" w:rsidRPr="006869D1" w:rsidRDefault="006869D1" w:rsidP="006869D1">
      <w:pPr>
        <w:spacing w:before="120" w:after="120" w:line="22" w:lineRule="atLeast"/>
        <w:ind w:firstLine="720"/>
        <w:jc w:val="both"/>
        <w:rPr>
          <w:sz w:val="28"/>
          <w:szCs w:val="28"/>
        </w:rPr>
      </w:pPr>
      <w:r w:rsidRPr="006869D1">
        <w:rPr>
          <w:sz w:val="28"/>
          <w:szCs w:val="28"/>
        </w:rPr>
        <w:t>Cải cách quy định lập Phiếu kiểm soát: Cho phép doanh nghiệp lập Phiếu kiểm soát mua, bán hóa chất cần kiểm soát đặc biệt theo hợp đồng khung đối với các khách hàng thường xuyên (thay vì lập theo từng chuyến hàng), chỉ yêu cầu cập nhật khi có thay đổi. Bổ sung cơ chế ràng buộc trách nhiệm của bên mua trong việc cung cấp thông tin chính xác phục vụ việc lập phiếu.</w:t>
      </w:r>
    </w:p>
    <w:p w14:paraId="3F833DC8" w14:textId="77777777" w:rsidR="006869D1" w:rsidRPr="006869D1" w:rsidRDefault="006869D1" w:rsidP="006869D1">
      <w:pPr>
        <w:spacing w:before="120" w:after="120" w:line="22" w:lineRule="atLeast"/>
        <w:ind w:firstLine="720"/>
        <w:jc w:val="both"/>
        <w:rPr>
          <w:sz w:val="28"/>
          <w:szCs w:val="28"/>
        </w:rPr>
      </w:pPr>
      <w:r w:rsidRPr="006869D1">
        <w:rPr>
          <w:sz w:val="28"/>
          <w:szCs w:val="28"/>
        </w:rPr>
        <w:t>Đơn giản hóa Giấy phép xuất nhập khẩu: Một số địa phương kiến nghị bãi bỏ thủ tục cấp Giấy phép xuất/nhập khẩu hóa chất cần kiểm soát đặc biệt do trùng lặp khâu kiểm soát của cơ quan Hải quan và Công an. Nếu giữ lại, cần nâng thời hạn giấy phép từ 6 tháng lên 12 tháng hoặc cấp phép theo hạn ngạch khối lượng năm để phù hợp với hợp đồng cung ứng dài hạn của doanh nghiệp.</w:t>
      </w:r>
    </w:p>
    <w:p w14:paraId="28E5EA6A" w14:textId="77777777" w:rsidR="006869D1" w:rsidRPr="006869D1" w:rsidRDefault="006869D1" w:rsidP="006869D1">
      <w:pPr>
        <w:spacing w:before="120" w:after="120" w:line="22" w:lineRule="atLeast"/>
        <w:ind w:firstLine="720"/>
        <w:jc w:val="both"/>
        <w:rPr>
          <w:sz w:val="28"/>
          <w:szCs w:val="28"/>
        </w:rPr>
      </w:pPr>
      <w:r w:rsidRPr="006869D1">
        <w:rPr>
          <w:sz w:val="28"/>
          <w:szCs w:val="28"/>
        </w:rPr>
        <w:t>1.2. Điều chỉnh ngưỡng kiểm soát và hoàn thiện cơ chế miễn trừ</w:t>
      </w:r>
    </w:p>
    <w:p w14:paraId="175EA64C" w14:textId="303E5DBF" w:rsidR="006869D1" w:rsidRPr="006869D1" w:rsidRDefault="006869D1" w:rsidP="006869D1">
      <w:pPr>
        <w:spacing w:before="120" w:after="120" w:line="22" w:lineRule="atLeast"/>
        <w:ind w:firstLine="720"/>
        <w:jc w:val="both"/>
        <w:rPr>
          <w:sz w:val="28"/>
          <w:szCs w:val="28"/>
        </w:rPr>
      </w:pPr>
      <w:r w:rsidRPr="006869D1">
        <w:rPr>
          <w:sz w:val="28"/>
          <w:szCs w:val="28"/>
        </w:rPr>
        <w:t xml:space="preserve">Nâng ngưỡng kiểm soát hàm lượng: Đề nghị nâng ngưỡng miễn trừ cấp phép, giấy chứng nhận đối với hỗn hợp chất chứa hóa chất có điều kiện và hóa chất cần kiểm soát đặc biệt từ mức &lt; 0,1% lên mức ≤ 1% khối lượng, nhằm giảm áp lực hành chính đối </w:t>
      </w:r>
      <w:r w:rsidR="00DD0C33">
        <w:rPr>
          <w:sz w:val="28"/>
          <w:szCs w:val="28"/>
        </w:rPr>
        <w:t xml:space="preserve">với các sản phẩm có rủi ro thấp, </w:t>
      </w:r>
      <w:r w:rsidR="00DD0C33" w:rsidRPr="00DD0C33">
        <w:rPr>
          <w:sz w:val="28"/>
          <w:szCs w:val="28"/>
        </w:rPr>
        <w:t>đồng thời bãi bỏ ngưỡng 1mg đối với hóa chất thí nghiệm, chuyển sang quản lý dựa trên mục đích sử dụng và hậu kiểm</w:t>
      </w:r>
      <w:r w:rsidR="00DD0C33">
        <w:rPr>
          <w:sz w:val="28"/>
          <w:szCs w:val="28"/>
        </w:rPr>
        <w:t>.</w:t>
      </w:r>
    </w:p>
    <w:p w14:paraId="251E7785" w14:textId="77777777" w:rsidR="006869D1" w:rsidRPr="006869D1" w:rsidRDefault="006869D1" w:rsidP="006869D1">
      <w:pPr>
        <w:spacing w:before="120" w:after="120" w:line="22" w:lineRule="atLeast"/>
        <w:ind w:firstLine="720"/>
        <w:jc w:val="both"/>
        <w:rPr>
          <w:sz w:val="28"/>
          <w:szCs w:val="28"/>
        </w:rPr>
      </w:pPr>
      <w:r w:rsidRPr="006869D1">
        <w:rPr>
          <w:sz w:val="28"/>
          <w:szCs w:val="28"/>
        </w:rPr>
        <w:t>Làm rõ tiêu chí miễn trừ "dưới 10 kg": Cần quy định cụ thể việc miễn trừ khai báo hóa chất "dưới 10 kg" tại điểm c khoản 7 Điều 6 là áp dụng tính theo từng loại hóa chất, từng mặt hàng, từng tờ khai hải quan hay tổng khối lượng lô hàng để cơ quan Hải quan thống nhất áp dụng.</w:t>
      </w:r>
    </w:p>
    <w:p w14:paraId="1CDBEEDA" w14:textId="639F278D" w:rsidR="006869D1" w:rsidRDefault="006869D1" w:rsidP="006869D1">
      <w:pPr>
        <w:spacing w:before="120" w:after="120" w:line="22" w:lineRule="atLeast"/>
        <w:ind w:firstLine="720"/>
        <w:jc w:val="both"/>
        <w:rPr>
          <w:sz w:val="28"/>
          <w:szCs w:val="28"/>
        </w:rPr>
      </w:pPr>
      <w:r w:rsidRPr="006869D1">
        <w:rPr>
          <w:sz w:val="28"/>
          <w:szCs w:val="28"/>
        </w:rPr>
        <w:t xml:space="preserve">Miễn trừ đối với hoạt động </w:t>
      </w:r>
      <w:r w:rsidR="00DD0C33">
        <w:rPr>
          <w:sz w:val="28"/>
          <w:szCs w:val="28"/>
        </w:rPr>
        <w:t>nghiên cứu khoa học</w:t>
      </w:r>
      <w:r w:rsidRPr="006869D1">
        <w:rPr>
          <w:sz w:val="28"/>
          <w:szCs w:val="28"/>
        </w:rPr>
        <w:t xml:space="preserve"> và chu trình khép kín: Bổ sung quy định miễn trừ Giấy phép xuất/nhập khẩu đối với hóa chất thí nghiệm có khối lượng cực nhỏ (≤ 1mg/lần) phục vụ nghiên cứu khoa học. Bổ sung cơ chế </w:t>
      </w:r>
      <w:r w:rsidRPr="006869D1">
        <w:rPr>
          <w:sz w:val="28"/>
          <w:szCs w:val="28"/>
        </w:rPr>
        <w:lastRenderedPageBreak/>
        <w:t>miễn giấy phép đối với nguyên liệu ở dạng thỏi (như chì nguyên chất) được nhập khẩu để sử dụng trực tiếp trong dây chuyền sản xuất khép kín (sản xuất pin, ắc quy) do nguy cơ phát tán rủi ro thấp.</w:t>
      </w:r>
      <w:r w:rsidR="00DD0C33">
        <w:rPr>
          <w:sz w:val="28"/>
          <w:szCs w:val="28"/>
        </w:rPr>
        <w:t xml:space="preserve"> </w:t>
      </w:r>
    </w:p>
    <w:p w14:paraId="6BBD2AC8" w14:textId="1ECBD2F2" w:rsidR="00DD0C33" w:rsidRPr="006869D1" w:rsidRDefault="00DD0C33" w:rsidP="006869D1">
      <w:pPr>
        <w:spacing w:before="120" w:after="120" w:line="22" w:lineRule="atLeast"/>
        <w:ind w:firstLine="720"/>
        <w:jc w:val="both"/>
        <w:rPr>
          <w:sz w:val="28"/>
          <w:szCs w:val="28"/>
        </w:rPr>
      </w:pPr>
      <w:r w:rsidRPr="00DD0C33">
        <w:rPr>
          <w:sz w:val="28"/>
          <w:szCs w:val="28"/>
        </w:rPr>
        <w:t>Cơ chế cho hóa chất thí nghiệm: Tách riêng quy định cho chất chuẩn, vật liệu chuẩn, dung dịch chuẩn/hiệu chuẩn và thuốc thử; áp dụng hình thức cấp giấy phép theo hạn ngạch năm thay vì cấp phép theo từng lô hàng để đảm bảo nguồn cung</w:t>
      </w:r>
      <w:r>
        <w:rPr>
          <w:sz w:val="28"/>
          <w:szCs w:val="28"/>
        </w:rPr>
        <w:t>.</w:t>
      </w:r>
    </w:p>
    <w:p w14:paraId="3C66EA40" w14:textId="77777777" w:rsidR="006869D1" w:rsidRPr="006869D1" w:rsidRDefault="006869D1" w:rsidP="006869D1">
      <w:pPr>
        <w:spacing w:before="120" w:after="120" w:line="22" w:lineRule="atLeast"/>
        <w:ind w:firstLine="720"/>
        <w:jc w:val="both"/>
        <w:rPr>
          <w:sz w:val="28"/>
          <w:szCs w:val="28"/>
        </w:rPr>
      </w:pPr>
      <w:r w:rsidRPr="006869D1">
        <w:rPr>
          <w:sz w:val="28"/>
          <w:szCs w:val="28"/>
        </w:rPr>
        <w:t>Miễn trừ đối với sản phẩm tiêu dùng thông dụng: Rà soát, quy định cụ thể phạm vi miễn trừ cấp phép đối với các sản phẩm thông dụng chứa hóa chất như: bình chữa cháy, dầu nhớt, nước làm mát, sơn, chất tẩy rửa bề mặt kim loại sử dụng trong lĩnh vực bảo dưỡng, sửa chữa ô tô, xe máy để không gây ách tắc lưu thông hàng hóa.</w:t>
      </w:r>
    </w:p>
    <w:p w14:paraId="533576E9" w14:textId="77777777" w:rsidR="006869D1" w:rsidRPr="006869D1" w:rsidRDefault="006869D1" w:rsidP="006869D1">
      <w:pPr>
        <w:spacing w:before="120" w:after="120" w:line="22" w:lineRule="atLeast"/>
        <w:ind w:firstLine="720"/>
        <w:jc w:val="both"/>
        <w:rPr>
          <w:sz w:val="28"/>
          <w:szCs w:val="28"/>
        </w:rPr>
      </w:pPr>
      <w:r w:rsidRPr="006869D1">
        <w:rPr>
          <w:sz w:val="28"/>
          <w:szCs w:val="28"/>
        </w:rPr>
        <w:t>1.3. Rút ngắn thời hạn giải quyết và điều chỉnh quy định về thời gian</w:t>
      </w:r>
    </w:p>
    <w:p w14:paraId="451FA46F" w14:textId="77777777" w:rsidR="006869D1" w:rsidRPr="006869D1" w:rsidRDefault="006869D1" w:rsidP="006869D1">
      <w:pPr>
        <w:spacing w:before="120" w:after="120" w:line="22" w:lineRule="atLeast"/>
        <w:ind w:firstLine="720"/>
        <w:jc w:val="both"/>
        <w:rPr>
          <w:sz w:val="28"/>
          <w:szCs w:val="28"/>
        </w:rPr>
      </w:pPr>
      <w:r w:rsidRPr="006869D1">
        <w:rPr>
          <w:sz w:val="28"/>
          <w:szCs w:val="28"/>
        </w:rPr>
        <w:t>Rút ngắn thời gian xử lý thủ tục: Đề nghị rút ngắn thời gian thẩm định đăng ký hóa chất mới từ 90 ngày xuống 50 ngày làm việc. Đồng thời, rút ngắn thời gian cấp lại giấy chứng nhận/giấy phép từ 05 ngày xuống còn 03 ngày làm việc; rút ngắn thời gian xác nhận đăng ký hóa chất mới sau thẩm định từ 07 ngày xuống 03 ngày.</w:t>
      </w:r>
    </w:p>
    <w:p w14:paraId="69F3FD5B" w14:textId="77777777" w:rsidR="006869D1" w:rsidRPr="006869D1" w:rsidRDefault="006869D1" w:rsidP="006869D1">
      <w:pPr>
        <w:spacing w:before="120" w:after="120" w:line="22" w:lineRule="atLeast"/>
        <w:ind w:firstLine="720"/>
        <w:jc w:val="both"/>
        <w:rPr>
          <w:sz w:val="28"/>
          <w:szCs w:val="28"/>
        </w:rPr>
      </w:pPr>
      <w:r w:rsidRPr="006869D1">
        <w:rPr>
          <w:sz w:val="28"/>
          <w:szCs w:val="28"/>
        </w:rPr>
        <w:t>Điều chỉnh thời gian công bố mục đích sử dụng: Rút ngắn thời hạn yêu cầu phải công bố loại hóa chất và mục đích sử dụng trên Cơ sở dữ liệu chuyên ngành trước khi đưa hóa chất cần kiểm soát đặc biệt vào sử dụng (hiện quy định trước 30 ngày là quá dài, thiếu linh hoạt cho sản xuất).</w:t>
      </w:r>
    </w:p>
    <w:p w14:paraId="504B6D64" w14:textId="77777777" w:rsidR="006869D1" w:rsidRPr="006869D1" w:rsidRDefault="006869D1" w:rsidP="006869D1">
      <w:pPr>
        <w:spacing w:before="120" w:after="120" w:line="22" w:lineRule="atLeast"/>
        <w:ind w:firstLine="720"/>
        <w:jc w:val="both"/>
        <w:rPr>
          <w:sz w:val="28"/>
          <w:szCs w:val="28"/>
        </w:rPr>
      </w:pPr>
      <w:r w:rsidRPr="006869D1">
        <w:rPr>
          <w:sz w:val="28"/>
          <w:szCs w:val="28"/>
        </w:rPr>
        <w:t>Quy định rõ thời hạn lấy ý kiến liên ngành: Bổ sung quy định rõ thời hạn Bộ Công an phải có ý kiến trả lời đối với hồ sơ xuất khẩu tiền chất công nghiệp (hiện quy định 03 ngày là quá ngắn) và quy định cơ chế xử lý khi quá hạn mà chưa có ý kiến trả lời.</w:t>
      </w:r>
    </w:p>
    <w:p w14:paraId="78B06D4A" w14:textId="77777777" w:rsidR="006869D1" w:rsidRPr="006869D1" w:rsidRDefault="006869D1" w:rsidP="006869D1">
      <w:pPr>
        <w:spacing w:before="120" w:after="120" w:line="22" w:lineRule="atLeast"/>
        <w:ind w:firstLine="720"/>
        <w:jc w:val="both"/>
        <w:rPr>
          <w:sz w:val="28"/>
          <w:szCs w:val="28"/>
        </w:rPr>
      </w:pPr>
      <w:r w:rsidRPr="006869D1">
        <w:rPr>
          <w:sz w:val="28"/>
          <w:szCs w:val="28"/>
        </w:rPr>
        <w:t>1.4. Xử lý các quy định chồng chéo, trùng lặp với pháp luật khác</w:t>
      </w:r>
    </w:p>
    <w:p w14:paraId="235DB987" w14:textId="77777777" w:rsidR="006869D1" w:rsidRPr="006869D1" w:rsidRDefault="006869D1" w:rsidP="006869D1">
      <w:pPr>
        <w:spacing w:before="120" w:after="120" w:line="22" w:lineRule="atLeast"/>
        <w:ind w:firstLine="720"/>
        <w:jc w:val="both"/>
        <w:rPr>
          <w:sz w:val="28"/>
          <w:szCs w:val="28"/>
        </w:rPr>
      </w:pPr>
      <w:r w:rsidRPr="006869D1">
        <w:rPr>
          <w:sz w:val="28"/>
          <w:szCs w:val="28"/>
        </w:rPr>
        <w:t>Trùng lặp nội tại: Đề nghị lược bỏ các điều khoản dẫn chiếu về yêu cầu an toàn, nhà xưởng, kho bãi tại Nghị định số 26 (Điều 7, 8, 11, 12, 16, 19) để áp dụng trực tiếp quy định chuyên sâu tại Chương V Nghị định số 25/2026/NĐ-CP, tránh làm văn bản trở nên rườm rà.</w:t>
      </w:r>
    </w:p>
    <w:p w14:paraId="5DA33D71" w14:textId="77777777" w:rsidR="006869D1" w:rsidRPr="006869D1" w:rsidRDefault="006869D1" w:rsidP="006869D1">
      <w:pPr>
        <w:spacing w:before="120" w:after="120" w:line="22" w:lineRule="atLeast"/>
        <w:ind w:firstLine="720"/>
        <w:jc w:val="both"/>
        <w:rPr>
          <w:sz w:val="28"/>
          <w:szCs w:val="28"/>
        </w:rPr>
      </w:pPr>
      <w:r w:rsidRPr="006869D1">
        <w:rPr>
          <w:sz w:val="28"/>
          <w:szCs w:val="28"/>
        </w:rPr>
        <w:t>Xung đột thẩm quyền ban hành Quy chuẩn: Đề nghị sửa đổi khoản 3 Điều 3 theo hướng giao Bộ Công Thương (thay vì Bộ Xây dựng) ban hành quy chuẩn kỹ thuật về vận chuyển hóa chất nguy hiểm cho phù hợp với chức năng quản lý nhà nước và thực tiễn.</w:t>
      </w:r>
    </w:p>
    <w:p w14:paraId="5A790A3D" w14:textId="77777777" w:rsidR="006869D1" w:rsidRPr="006869D1" w:rsidRDefault="006869D1" w:rsidP="006869D1">
      <w:pPr>
        <w:spacing w:before="120" w:after="120" w:line="22" w:lineRule="atLeast"/>
        <w:ind w:firstLine="720"/>
        <w:jc w:val="both"/>
        <w:rPr>
          <w:sz w:val="28"/>
          <w:szCs w:val="28"/>
        </w:rPr>
      </w:pPr>
      <w:r w:rsidRPr="006869D1">
        <w:rPr>
          <w:sz w:val="28"/>
          <w:szCs w:val="28"/>
        </w:rPr>
        <w:t>Chồng chéo với Luật Dược: Đề nghị phối hợp với Bộ Y tế bổ sung quy định làm rõ nguyên liệu làm thuốc nhập khẩu không phải thực hiện thủ tục khai báo hóa chất khi nhập khẩu để đồng bộ với pháp luật về dược.</w:t>
      </w:r>
    </w:p>
    <w:p w14:paraId="708ABF77" w14:textId="77777777" w:rsidR="006869D1" w:rsidRPr="006869D1" w:rsidRDefault="006869D1" w:rsidP="006869D1">
      <w:pPr>
        <w:spacing w:before="120" w:after="120" w:line="22" w:lineRule="atLeast"/>
        <w:ind w:firstLine="720"/>
        <w:jc w:val="both"/>
        <w:rPr>
          <w:sz w:val="28"/>
          <w:szCs w:val="28"/>
        </w:rPr>
      </w:pPr>
      <w:r w:rsidRPr="006869D1">
        <w:rPr>
          <w:sz w:val="28"/>
          <w:szCs w:val="28"/>
        </w:rPr>
        <w:t xml:space="preserve">Giao thoa với pháp luật Môi trường: Đề nghị có hướng dẫn liên ngành thống nhất việc xác định, đối chiếu các thuật ngữ "chất độc" theo GHS với "hóa chất </w:t>
      </w:r>
      <w:r w:rsidRPr="006869D1">
        <w:rPr>
          <w:sz w:val="28"/>
          <w:szCs w:val="28"/>
        </w:rPr>
        <w:lastRenderedPageBreak/>
        <w:t>độc", "hóa chất độc hại" trong pháp luật bảo vệ môi trường để làm cơ sở cấp phép môi trường cho dự án.</w:t>
      </w:r>
    </w:p>
    <w:p w14:paraId="15E03B5C" w14:textId="77777777" w:rsidR="006869D1" w:rsidRPr="006869D1" w:rsidRDefault="006869D1" w:rsidP="006869D1">
      <w:pPr>
        <w:spacing w:before="120" w:after="120" w:line="22" w:lineRule="atLeast"/>
        <w:ind w:firstLine="720"/>
        <w:jc w:val="both"/>
        <w:rPr>
          <w:sz w:val="28"/>
          <w:szCs w:val="28"/>
        </w:rPr>
      </w:pPr>
      <w:r w:rsidRPr="006869D1">
        <w:rPr>
          <w:sz w:val="28"/>
          <w:szCs w:val="28"/>
        </w:rPr>
        <w:t>1.5. Chuẩn hóa quy định về chuyên môn và xử lý vi phạm</w:t>
      </w:r>
    </w:p>
    <w:p w14:paraId="5651E71A" w14:textId="77777777" w:rsidR="006869D1" w:rsidRPr="006869D1" w:rsidRDefault="006869D1" w:rsidP="006869D1">
      <w:pPr>
        <w:spacing w:before="120" w:after="120" w:line="22" w:lineRule="atLeast"/>
        <w:ind w:firstLine="720"/>
        <w:jc w:val="both"/>
        <w:rPr>
          <w:sz w:val="28"/>
          <w:szCs w:val="28"/>
        </w:rPr>
      </w:pPr>
      <w:r w:rsidRPr="006869D1">
        <w:rPr>
          <w:sz w:val="28"/>
          <w:szCs w:val="28"/>
        </w:rPr>
        <w:t>Chuẩn hóa chức danh nhân sự: Thống nhất thay thế thuật ngữ "Bằng đại học/trung cấp" bằng "Cử nhân/Trung cấp" và dẫn chiếu trực tiếp đến Danh mục ngành đào tạo tại Phụ lục III Nghị định số 25/2026/NĐ-CP để tránh nhầm lẫn cho doanh nghiệp. Thanh tra Chính phủ kiến nghị cần quy định rõ trình độ chuyên môn phải "phù hợp với quy mô và loại hình sản xuất, kinh doanh hóa chất" để lượng hóa tiêu chuẩn.</w:t>
      </w:r>
    </w:p>
    <w:p w14:paraId="1F1BB081" w14:textId="77777777" w:rsidR="006869D1" w:rsidRPr="006869D1" w:rsidRDefault="006869D1" w:rsidP="006869D1">
      <w:pPr>
        <w:spacing w:before="120" w:after="120" w:line="22" w:lineRule="atLeast"/>
        <w:ind w:firstLine="720"/>
        <w:jc w:val="both"/>
        <w:rPr>
          <w:sz w:val="28"/>
          <w:szCs w:val="28"/>
        </w:rPr>
      </w:pPr>
      <w:r w:rsidRPr="006869D1">
        <w:rPr>
          <w:sz w:val="28"/>
          <w:szCs w:val="28"/>
        </w:rPr>
        <w:t>Bổ sung chế tài xử lý sau thu hồi giấy phép: Thanh tra Chính phủ đề xuất bổ sung khoản 5 Điều 22 nội dung bắt buộc: "Tổ chức, cá nhân phải chấm dứt hoạt động sản xuất, kinh doanh hóa chất kể từ ngày nhận được Quyết định thu hồi Giấy phép" nhằm lấp khoảng trống pháp lý, ngăn chặn doanh nghiệp tiếp tục hoạt động trái phép.</w:t>
      </w:r>
    </w:p>
    <w:p w14:paraId="044F1976" w14:textId="77777777" w:rsidR="006869D1" w:rsidRPr="006869D1" w:rsidRDefault="006869D1" w:rsidP="006869D1">
      <w:pPr>
        <w:spacing w:before="120" w:after="120" w:line="22" w:lineRule="atLeast"/>
        <w:ind w:firstLine="720"/>
        <w:jc w:val="both"/>
        <w:rPr>
          <w:sz w:val="28"/>
          <w:szCs w:val="28"/>
        </w:rPr>
      </w:pPr>
      <w:r w:rsidRPr="006869D1">
        <w:rPr>
          <w:sz w:val="28"/>
          <w:szCs w:val="28"/>
        </w:rPr>
        <w:t>1.6. Bổ sung các quy định chuyển tiếp và cơ chế quản lý đặc thù</w:t>
      </w:r>
    </w:p>
    <w:p w14:paraId="69907A1D" w14:textId="77777777" w:rsidR="006869D1" w:rsidRPr="006869D1" w:rsidRDefault="006869D1" w:rsidP="006869D1">
      <w:pPr>
        <w:spacing w:before="120" w:after="120" w:line="22" w:lineRule="atLeast"/>
        <w:ind w:firstLine="720"/>
        <w:jc w:val="both"/>
        <w:rPr>
          <w:sz w:val="28"/>
          <w:szCs w:val="28"/>
        </w:rPr>
      </w:pPr>
      <w:r w:rsidRPr="006869D1">
        <w:rPr>
          <w:sz w:val="28"/>
          <w:szCs w:val="28"/>
        </w:rPr>
        <w:t>Về điều khoản chuyển tiếp: Cần bổ sung hướng dẫn rõ ràng cho trường hợp các doanh nghiệp đã được cấp phép trước ngày 01/7/2026 và đang thuê kho của các tổ chức chưa được cấp Giấy chứng nhận đủ điều kiện dịch vụ tồn trữ hóa chất theo quy định mới, để tránh gây gián đoạn hoạt động hợp pháp của doanh nghiệp.</w:t>
      </w:r>
    </w:p>
    <w:p w14:paraId="66A997DA" w14:textId="77777777" w:rsidR="006869D1" w:rsidRPr="006869D1" w:rsidRDefault="006869D1" w:rsidP="006869D1">
      <w:pPr>
        <w:spacing w:before="120" w:after="120" w:line="22" w:lineRule="atLeast"/>
        <w:ind w:firstLine="720"/>
        <w:jc w:val="both"/>
        <w:rPr>
          <w:sz w:val="28"/>
          <w:szCs w:val="28"/>
        </w:rPr>
      </w:pPr>
      <w:r w:rsidRPr="006869D1">
        <w:rPr>
          <w:sz w:val="28"/>
          <w:szCs w:val="28"/>
        </w:rPr>
        <w:t>Về quản lý thương mại điện tử: Bổ sung cơ chế chia sẻ dữ liệu danh mục hóa chất cấm, hóa chất có điều kiện cho các cơ quan liên quan để yêu cầu các nền tảng thương mại điện tử kịp thời rà soát, tự động ngăn chặn và kiểm soát hoạt động mua bán hóa chất trên môi trường không gian mạng</w:t>
      </w:r>
    </w:p>
    <w:p w14:paraId="297B3928"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2. Kiến nghị sửa đổi các văn bản hướng dẫn</w:t>
      </w:r>
    </w:p>
    <w:p w14:paraId="6A5B450C" w14:textId="77777777" w:rsidR="0096450F" w:rsidRPr="0096450F" w:rsidRDefault="0096450F" w:rsidP="0096450F">
      <w:pPr>
        <w:spacing w:before="120" w:after="120" w:line="22" w:lineRule="atLeast"/>
        <w:ind w:firstLine="720"/>
        <w:jc w:val="both"/>
        <w:rPr>
          <w:sz w:val="28"/>
          <w:szCs w:val="28"/>
        </w:rPr>
      </w:pPr>
      <w:r w:rsidRPr="0096450F">
        <w:rPr>
          <w:sz w:val="28"/>
          <w:szCs w:val="28"/>
        </w:rPr>
        <w:t>Để bảo đảm Nghị định số 26/2026/NĐ-CP và Luật Hóa chất 2025 được thực thi đồng bộ, giải quyết triệt để tình trạng xung đột pháp luật và khoảng trống pháp lý, các Bộ, ngành và địa phương đã đề xuất nhiều 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096450F" w:rsidRDefault="0096450F" w:rsidP="0096450F">
      <w:pPr>
        <w:spacing w:before="120" w:after="120" w:line="22" w:lineRule="atLeast"/>
        <w:ind w:firstLine="720"/>
        <w:jc w:val="both"/>
        <w:rPr>
          <w:sz w:val="28"/>
          <w:szCs w:val="28"/>
        </w:rPr>
      </w:pPr>
      <w:r w:rsidRPr="0096450F">
        <w:rPr>
          <w:sz w:val="28"/>
          <w:szCs w:val="28"/>
        </w:rPr>
        <w:t>2.1. Kiến nghị sửa đổi các Thông tư của Bộ Công Thương để thống nhất công tác phân cấp, phân quyền Nhiều địa phương (điển hình như Cà Mau, Gia Lai) đã chỉ ra sự bất nhất trong nội tại các văn bản hướng dẫn của Bộ Công Thương.</w:t>
      </w:r>
    </w:p>
    <w:p w14:paraId="7ECC8158" w14:textId="77777777" w:rsidR="0096450F" w:rsidRPr="0096450F" w:rsidRDefault="0096450F" w:rsidP="0096450F">
      <w:pPr>
        <w:spacing w:before="120" w:after="120" w:line="22" w:lineRule="atLeast"/>
        <w:ind w:firstLine="720"/>
        <w:jc w:val="both"/>
        <w:rPr>
          <w:sz w:val="28"/>
          <w:szCs w:val="28"/>
        </w:rPr>
      </w:pPr>
      <w:r w:rsidRPr="0096450F">
        <w:rPr>
          <w:sz w:val="28"/>
          <w:szCs w:val="28"/>
        </w:rPr>
        <w:t>Sự bất cập: Theo Thông tư số 26/2026/TT-BCT, Ủy ban nhân dân (UBND) cấp tỉnh được giao thẩm quyền cấp Giấy phép xuất khẩu, nhập khẩu hóa chất cần kiểm soát đặc biệt đối với cả Nhóm 1 và Nhóm 2. Tuy nhiên, tại Thông tư số 01/2026/TT-BCT và Thông tư 26/2026/TT-BCT, thẩm quyền cấp Giấy phép sản xuất, kinh doanh lại bị chia cắt: địa phương chỉ được cấp cho Nhóm 2, trong khi Nhóm 1 vẫn do Cục Hóa chất thực hiện. Sự thiếu đồng bộ đối với cùng một nhóm hóa chất gây khó khăn lớn trong việc quản lý tổng thể tại địa bàn.</w:t>
      </w:r>
    </w:p>
    <w:p w14:paraId="068B1677" w14:textId="77777777" w:rsidR="0096450F" w:rsidRPr="0096450F" w:rsidRDefault="0096450F" w:rsidP="0096450F">
      <w:pPr>
        <w:spacing w:before="120" w:after="120" w:line="22" w:lineRule="atLeast"/>
        <w:ind w:firstLine="720"/>
        <w:jc w:val="both"/>
        <w:rPr>
          <w:sz w:val="28"/>
          <w:szCs w:val="28"/>
        </w:rPr>
      </w:pPr>
      <w:r w:rsidRPr="0096450F">
        <w:rPr>
          <w:sz w:val="28"/>
          <w:szCs w:val="28"/>
        </w:rPr>
        <w:lastRenderedPageBreak/>
        <w:t>Kiến nghị: Sửa đổi điểm a khoản 1 Điều 3 Thông tư số 01/2026/TT-BCT và khoản 7 Điều 24 Thông tư số 26/2026/TT-BCT theo hướng: Giao toàn quyền cho UBND cấp tỉnh tiếp nhận, thẩm định và cấp Giấy phép sản xuất, kinh doanh, xuất nhập khẩu hóa chất cần kiểm soát đặc biệt đối với cả Nhóm 1 và Nhóm 2. Việc này sẽ bảo đảm sự thống nhất trong phân cấp, phân quyền, rút ngắn quy trình và nâng cao năng lực quản lý tại chỗ của địa phương.</w:t>
      </w:r>
    </w:p>
    <w:p w14:paraId="20E992B2" w14:textId="77777777" w:rsidR="0096450F" w:rsidRPr="0096450F" w:rsidRDefault="0096450F" w:rsidP="0096450F">
      <w:pPr>
        <w:spacing w:before="120" w:after="120" w:line="22" w:lineRule="atLeast"/>
        <w:ind w:firstLine="720"/>
        <w:jc w:val="both"/>
        <w:rPr>
          <w:sz w:val="28"/>
          <w:szCs w:val="28"/>
        </w:rPr>
      </w:pPr>
      <w:r w:rsidRPr="0096450F">
        <w:rPr>
          <w:sz w:val="28"/>
          <w:szCs w:val="28"/>
        </w:rPr>
        <w:t>2.2. Kiến nghị sửa đổi, ban hành các Quy chuẩn kỹ thuật quốc gia (QCVN) và điều chỉnh thẩm quyền</w:t>
      </w:r>
    </w:p>
    <w:p w14:paraId="3BAD8ABC" w14:textId="77777777" w:rsidR="0096450F" w:rsidRPr="0096450F" w:rsidRDefault="0096450F" w:rsidP="0096450F">
      <w:pPr>
        <w:spacing w:before="120" w:after="120" w:line="22" w:lineRule="atLeast"/>
        <w:ind w:firstLine="720"/>
        <w:jc w:val="both"/>
        <w:rPr>
          <w:sz w:val="28"/>
          <w:szCs w:val="28"/>
        </w:rPr>
      </w:pPr>
      <w:r w:rsidRPr="0096450F">
        <w:rPr>
          <w:sz w:val="28"/>
          <w:szCs w:val="28"/>
        </w:rPr>
        <w:t>Về khoảng cách an toàn: Rất nhiều địa phương (Hà Tĩnh, Ninh Bình, Phú Thọ) phản ánh việc chưa có Quy chuẩn kỹ thuật quốc gia về khoảng cách an toàn hóa chất khiến cơ quan quản lý không có căn cứ pháp lý để thẩm định dự án, cấp phép và quản lý rủi ro. Kiến nghị Bộ Công Thương sớm xây dựng và ban hành Quy chuẩn này để địa phương áp dụng thống nhất.</w:t>
      </w:r>
    </w:p>
    <w:p w14:paraId="0BB0207F" w14:textId="77777777" w:rsidR="0096450F" w:rsidRPr="0096450F" w:rsidRDefault="0096450F" w:rsidP="0096450F">
      <w:pPr>
        <w:spacing w:before="120" w:after="120" w:line="22" w:lineRule="atLeast"/>
        <w:ind w:firstLine="720"/>
        <w:jc w:val="both"/>
        <w:rPr>
          <w:sz w:val="28"/>
          <w:szCs w:val="28"/>
        </w:rPr>
      </w:pPr>
      <w:r w:rsidRPr="0096450F">
        <w:rPr>
          <w:sz w:val="28"/>
          <w:szCs w:val="28"/>
        </w:rPr>
        <w:t>Về thẩm quyền ban hành Quy chuẩn vận chuyển: Bộ Xây dựng nhận định việc khoản 3 Điều 3 Nghị định số 26/2026/NĐ-CP giao Bộ này ban hành quy chuẩn kỹ thuật về "vận chuyển hóa chất nguy hiểm" là trái thẩm quyền và không phù hợp thực tế, do lĩnh vực giao thông đường bộ, đường thủy thuộc chức năng của Bộ Giao thông Vận tải và Bộ Công Thương. Kiến nghị sửa đổi khoản 3 Điều 3 Nghị định 26, chuyển thẩm quyền ban hành Quy chuẩn này từ Bộ Xây dựng sang Bộ Công Thương.</w:t>
      </w:r>
    </w:p>
    <w:p w14:paraId="7EDB6593" w14:textId="77777777" w:rsidR="0096450F" w:rsidRPr="0096450F" w:rsidRDefault="0096450F" w:rsidP="0096450F">
      <w:pPr>
        <w:spacing w:before="120" w:after="120" w:line="22" w:lineRule="atLeast"/>
        <w:ind w:firstLine="720"/>
        <w:jc w:val="both"/>
        <w:rPr>
          <w:sz w:val="28"/>
          <w:szCs w:val="28"/>
        </w:rPr>
      </w:pPr>
      <w:r w:rsidRPr="0096450F">
        <w:rPr>
          <w:sz w:val="28"/>
          <w:szCs w:val="28"/>
        </w:rPr>
        <w:t>2.3. Kiến nghị sửa đổi, hoàn thiện Nghị định số 25/2026/NĐ-CP (văn bản song hành) Do Nghị định 25 và Nghị định 26 có sự gắn kết chặt chẽ, các cơ quan đề nghị cần sửa đổi đồng bộ Nghị định số 25/2026/NĐ-CP để giải quyết các vướng mắc liên đới:</w:t>
      </w:r>
    </w:p>
    <w:p w14:paraId="41D4B682" w14:textId="77777777" w:rsidR="0096450F" w:rsidRPr="0096450F" w:rsidRDefault="0096450F" w:rsidP="0096450F">
      <w:pPr>
        <w:spacing w:before="120" w:after="120" w:line="22" w:lineRule="atLeast"/>
        <w:ind w:firstLine="720"/>
        <w:jc w:val="both"/>
        <w:rPr>
          <w:sz w:val="28"/>
          <w:szCs w:val="28"/>
        </w:rPr>
      </w:pPr>
      <w:r w:rsidRPr="0096450F">
        <w:rPr>
          <w:sz w:val="28"/>
          <w:szCs w:val="28"/>
        </w:rPr>
        <w:t>Về huấn luyện an toàn (kiến nghị của Bộ Nội vụ và Hà Tĩnh): Cần sửa đổi quy định huấn luyện an toàn hóa chất theo hướng mở rộng đối tượng được tham gia hoạt động huấn luyện. Đặc biệt, cần có cơ chế tích hợp hoặc công nhận tương đương giữa huấn luyện an toàn hóa chất và chương trình huấn luyện an toàn, vệ sinh lao động (ATVSLĐ) để tránh trùng lặp đối tượng, hồ sơ và giảm chi phí "kép" cho doanh nghiệp. Hà Tĩnh cũng kiến nghị làm rõ khái niệm "người đứng đầu" tại khoản 3 Điều 29 đối với doanh nghiệp có vốn đầu tư nước ngoài (người đại diện vắng mặt, chỉ có người ủy quyền).</w:t>
      </w:r>
    </w:p>
    <w:p w14:paraId="186A67AE" w14:textId="77777777" w:rsidR="0096450F" w:rsidRPr="0096450F" w:rsidRDefault="0096450F" w:rsidP="0096450F">
      <w:pPr>
        <w:spacing w:before="120" w:after="120" w:line="22" w:lineRule="atLeast"/>
        <w:ind w:firstLine="720"/>
        <w:jc w:val="both"/>
        <w:rPr>
          <w:sz w:val="28"/>
          <w:szCs w:val="28"/>
        </w:rPr>
      </w:pPr>
      <w:r w:rsidRPr="0096450F">
        <w:rPr>
          <w:sz w:val="28"/>
          <w:szCs w:val="28"/>
        </w:rPr>
        <w:t>Về điều kiện chuyên môn (kiến nghị của Thanh tra Chính phủ và Hà Tĩnh): Cần làm rõ quy định về thời gian kinh nghiệm công tác tại vị trí liên quan đến an toàn hóa chất. Thanh tra Chính phủ đề nghị lượng hóa rõ tiêu chí: người phụ trách cơ sở sản xuất phải có trình độ "đại học trở lên chuyên ngành hóa học", cơ sở kinh doanh phải "trung cấp trở lên", thay vì dùng cụm từ chung chung "có trình độ chuyên môn phù hợp".</w:t>
      </w:r>
    </w:p>
    <w:p w14:paraId="45183881" w14:textId="77777777" w:rsidR="0096450F" w:rsidRPr="0096450F" w:rsidRDefault="0096450F" w:rsidP="0096450F">
      <w:pPr>
        <w:spacing w:before="120" w:after="120" w:line="22" w:lineRule="atLeast"/>
        <w:ind w:firstLine="720"/>
        <w:jc w:val="both"/>
        <w:rPr>
          <w:sz w:val="28"/>
          <w:szCs w:val="28"/>
        </w:rPr>
      </w:pPr>
      <w:r w:rsidRPr="0096450F">
        <w:rPr>
          <w:sz w:val="28"/>
          <w:szCs w:val="28"/>
        </w:rPr>
        <w:t>2.4. Kiến nghị ban hành các văn bản phối hợp liên ngành và hướng dẫn chuyên sâu</w:t>
      </w:r>
    </w:p>
    <w:p w14:paraId="4D3C92D7" w14:textId="77777777" w:rsidR="0096450F" w:rsidRPr="0096450F" w:rsidRDefault="0096450F" w:rsidP="0096450F">
      <w:pPr>
        <w:spacing w:before="120" w:after="120" w:line="22" w:lineRule="atLeast"/>
        <w:ind w:firstLine="720"/>
        <w:jc w:val="both"/>
        <w:rPr>
          <w:sz w:val="28"/>
          <w:szCs w:val="28"/>
        </w:rPr>
      </w:pPr>
      <w:r w:rsidRPr="0096450F">
        <w:rPr>
          <w:sz w:val="28"/>
          <w:szCs w:val="28"/>
        </w:rPr>
        <w:lastRenderedPageBreak/>
        <w:t>Mã HS và danh mục chi tiết (kiến nghị của Hải quan): Tổng cục Hải quan đề nghị Bộ Công Thương sớm ban hành Thông tư ban hành Danh mục hóa chất Bảng 1 (thuộc Phụ lục III Nghị định 24/2026/NĐ-CP) có đính kèm đầy đủ mã HS để cơ quan hải quan và doanh nghiệp có cơ sở tra cứu, áp dụng thống nhất trên hệ thống thông quan điện tử.</w:t>
      </w:r>
    </w:p>
    <w:p w14:paraId="27DA241D" w14:textId="77777777" w:rsidR="0096450F" w:rsidRPr="0096450F" w:rsidRDefault="0096450F" w:rsidP="0096450F">
      <w:pPr>
        <w:spacing w:before="120" w:after="120" w:line="22" w:lineRule="atLeast"/>
        <w:ind w:firstLine="720"/>
        <w:jc w:val="both"/>
        <w:rPr>
          <w:sz w:val="28"/>
          <w:szCs w:val="28"/>
        </w:rPr>
      </w:pPr>
      <w:r w:rsidRPr="0096450F">
        <w:rPr>
          <w:sz w:val="28"/>
          <w:szCs w:val="28"/>
        </w:rPr>
        <w:t>Hướng dẫn xử lý giao thoa với Luật Dược (kiến nghị của Gia Lai, Hải quan): Cần có văn bản liên ngành giữa Bộ Công Thương và Bộ Y tế để quy định rõ: Nguyên liệu làm thuốc nhập khẩu (chịu sự điều chỉnh của Luật Dược và Nghị định số 163/2025/NĐ-CP) thì không phải thực hiện thủ tục khai báo hóa chất, nhằm chấm dứt tình trạng ách tắc tại cửa khẩu.</w:t>
      </w:r>
    </w:p>
    <w:p w14:paraId="76A8367D" w14:textId="77777777" w:rsidR="0096450F" w:rsidRPr="0096450F" w:rsidRDefault="0096450F" w:rsidP="0096450F">
      <w:pPr>
        <w:spacing w:before="120" w:after="120" w:line="22" w:lineRule="atLeast"/>
        <w:ind w:firstLine="720"/>
        <w:jc w:val="both"/>
        <w:rPr>
          <w:sz w:val="28"/>
          <w:szCs w:val="28"/>
        </w:rPr>
      </w:pPr>
      <w:r w:rsidRPr="0096450F">
        <w:rPr>
          <w:sz w:val="28"/>
          <w:szCs w:val="28"/>
        </w:rPr>
        <w:t>Hướng dẫn về hóa chất đặc thù (kiến nghị của Tập đoàn Hóa chất): Cần ban hành văn bản hướng dẫn cụ thể việc quản lý hóa chất dùng trong phòng thí nghiệm; khai báo hóa chất chuẩn, dung dịch chuẩn có nhiều nồng độ; và làm rõ nội dung "khuyến cáo hạn chế sử dụng" đối với hóa chất nguy hiểm trong sản phẩm, hàng hóa.</w:t>
      </w:r>
    </w:p>
    <w:p w14:paraId="2E3F3DF7" w14:textId="77777777" w:rsidR="0096450F" w:rsidRPr="0096450F" w:rsidRDefault="0096450F" w:rsidP="0096450F">
      <w:pPr>
        <w:spacing w:before="120" w:after="120" w:line="22" w:lineRule="atLeast"/>
        <w:ind w:firstLine="720"/>
        <w:jc w:val="both"/>
        <w:rPr>
          <w:sz w:val="28"/>
          <w:szCs w:val="28"/>
        </w:rPr>
      </w:pPr>
      <w:r w:rsidRPr="0096450F">
        <w:rPr>
          <w:sz w:val="28"/>
          <w:szCs w:val="28"/>
        </w:rPr>
        <w:t>Về phí và lệ phí (kiến nghị của Cà Mau): Đề nghị Bộ Công Thương phối hợp với Bộ Tài chính khẩn trương ban hành Thông tư quy định về mức thu, chế độ thu, nộp, quản lý và sử dụng phí, lệ phí đối với các TTHC mới trong lĩnh vực hóa chất để địa phương có cơ sở thực hiện.</w:t>
      </w:r>
    </w:p>
    <w:p w14:paraId="4B38FD94" w14:textId="77777777" w:rsidR="0096450F" w:rsidRPr="0096450F" w:rsidRDefault="0096450F" w:rsidP="0096450F">
      <w:pPr>
        <w:spacing w:before="120" w:after="120" w:line="22" w:lineRule="atLeast"/>
        <w:ind w:firstLine="720"/>
        <w:jc w:val="both"/>
        <w:rPr>
          <w:sz w:val="28"/>
          <w:szCs w:val="28"/>
        </w:rPr>
      </w:pPr>
      <w:r w:rsidRPr="0096450F">
        <w:rPr>
          <w:sz w:val="28"/>
          <w:szCs w:val="28"/>
        </w:rPr>
        <w:t>Chia sẻ dữ liệu (kiến nghị của Cục Thương mại điện tử): Hoàn thiện cơ chế chia sẻ Danh mục hóa chất cấm, hóa chất có điều kiện thông qua giao diện điện tử (API) để các cơ quan quản lý chuyên ngành và nền tảng TMĐT có thể cập nhật tự động, phục vụ việc rà soát và ngăn chặn buôn bán trái phép trên không gian mạng</w:t>
      </w:r>
    </w:p>
    <w:p w14:paraId="1EE50A1B"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3. Kiến nghị đối với Chính phủ</w:t>
      </w:r>
    </w:p>
    <w:p w14:paraId="53C17F8E" w14:textId="77777777" w:rsidR="0001237D" w:rsidRPr="0001237D" w:rsidRDefault="0001237D" w:rsidP="0001237D">
      <w:pPr>
        <w:spacing w:before="120" w:after="120" w:line="22" w:lineRule="atLeast"/>
        <w:ind w:firstLine="720"/>
        <w:jc w:val="both"/>
        <w:rPr>
          <w:sz w:val="28"/>
          <w:szCs w:val="28"/>
        </w:rPr>
      </w:pPr>
      <w:r w:rsidRPr="0001237D">
        <w:rPr>
          <w:sz w:val="28"/>
          <w:szCs w:val="28"/>
        </w:rPr>
        <w:t>Có cơ chế tích hợp, công nhận tương đương giữa huấn luyện an toàn hóa chất và huấn luyện an toàn vệ sinh lao động để giảm thiểu chi phí kép cho doanh nghiệp (kiến nghị của Bộ Nội vụ).</w:t>
      </w:r>
    </w:p>
    <w:p w14:paraId="41474AF2"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4. Kiến nghị đối với các Bộ, ngành</w:t>
      </w:r>
    </w:p>
    <w:p w14:paraId="6712F004" w14:textId="77777777" w:rsidR="0001237D" w:rsidRPr="0001237D" w:rsidRDefault="0001237D" w:rsidP="0001237D">
      <w:pPr>
        <w:spacing w:before="120" w:after="120" w:line="22" w:lineRule="atLeast"/>
        <w:ind w:firstLine="720"/>
        <w:jc w:val="both"/>
        <w:rPr>
          <w:sz w:val="28"/>
          <w:szCs w:val="28"/>
        </w:rPr>
      </w:pPr>
      <w:r w:rsidRPr="0001237D">
        <w:rPr>
          <w:sz w:val="28"/>
          <w:szCs w:val="28"/>
        </w:rPr>
        <w:t>Đề nghị Bộ Công Thương, Bộ Y tế, Bộ Nông nghiệp và Phát triển nông thôn, Tổng cục Hải quan phối hợp ban hành hướng dẫn liên ngành để xử lý các vướng mắc giao thoa: nguyên liệu làm thuốc (Luật Dược), tiêu chí "chất độc" (Luật Bảo vệ Môi trường), và cách tính định mức miễn trừ "dưới 10kg",,.</w:t>
      </w:r>
    </w:p>
    <w:p w14:paraId="5C8EBBF1" w14:textId="77777777" w:rsidR="0001237D" w:rsidRPr="0001237D" w:rsidRDefault="0001237D" w:rsidP="0001237D">
      <w:pPr>
        <w:spacing w:before="120" w:after="120" w:line="22" w:lineRule="atLeast"/>
        <w:ind w:firstLine="720"/>
        <w:jc w:val="both"/>
        <w:rPr>
          <w:sz w:val="28"/>
          <w:szCs w:val="28"/>
        </w:rPr>
      </w:pPr>
      <w:r w:rsidRPr="0001237D">
        <w:rPr>
          <w:sz w:val="28"/>
          <w:szCs w:val="28"/>
        </w:rPr>
        <w:t>Đề nghị Bộ Công Thương khẩn trương nâng cấp, hoàn thiện Cơ sở dữ liệu chuyên ngành hóa chất quốc gia; đảm bảo kết nối thông suốt với Cổng dịch vụ công quốc gia, VNeID và hệ thống Hải quan; tạo cơ chế chia sẻ danh mục hóa chất với Bộ Công an và cơ quan quản lý Thương mại điện tử để kiểm soát bán hàng trực tuyến,,,.</w:t>
      </w:r>
    </w:p>
    <w:p w14:paraId="6ACCFB5E"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5. Kiến nghị đối với địa phương</w:t>
      </w:r>
    </w:p>
    <w:p w14:paraId="54D437CA" w14:textId="77777777" w:rsidR="0001237D" w:rsidRPr="0001237D" w:rsidRDefault="0001237D" w:rsidP="0001237D">
      <w:pPr>
        <w:spacing w:before="120" w:after="120" w:line="22" w:lineRule="atLeast"/>
        <w:ind w:firstLine="720"/>
        <w:jc w:val="both"/>
        <w:rPr>
          <w:sz w:val="28"/>
          <w:szCs w:val="28"/>
        </w:rPr>
      </w:pPr>
      <w:r w:rsidRPr="0001237D">
        <w:rPr>
          <w:sz w:val="28"/>
          <w:szCs w:val="28"/>
        </w:rPr>
        <w:lastRenderedPageBreak/>
        <w:t>Bố trí đủ nguồn lực (nhân sự, kinh phí, trang thiết bị kiểm tra chuyên sâu) cho cơ quan quản lý hóa chất cấp tỉnh.</w:t>
      </w:r>
    </w:p>
    <w:p w14:paraId="6C6D16EC" w14:textId="77777777" w:rsidR="0001237D" w:rsidRPr="0001237D" w:rsidRDefault="0001237D" w:rsidP="0001237D">
      <w:pPr>
        <w:spacing w:before="120" w:after="120" w:line="22" w:lineRule="atLeast"/>
        <w:ind w:firstLine="720"/>
        <w:jc w:val="both"/>
        <w:rPr>
          <w:sz w:val="28"/>
          <w:szCs w:val="28"/>
        </w:rPr>
      </w:pPr>
      <w:r w:rsidRPr="0001237D">
        <w:rPr>
          <w:sz w:val="28"/>
          <w:szCs w:val="28"/>
        </w:rPr>
        <w:t>Đẩy mạnh công tác hậu kiểm thay vì tiền kiểm; chủ động thanh tra, kiểm tra và hướng dẫn doanh nghiệp thực hiện các quy định pháp luật,.</w:t>
      </w:r>
    </w:p>
    <w:p w14:paraId="30155412" w14:textId="77777777" w:rsidR="0001237D" w:rsidRPr="0001237D" w:rsidRDefault="0001237D" w:rsidP="0001237D">
      <w:pPr>
        <w:spacing w:before="120" w:after="120" w:line="22" w:lineRule="atLeast"/>
        <w:ind w:firstLine="720"/>
        <w:jc w:val="both"/>
        <w:rPr>
          <w:b/>
          <w:sz w:val="28"/>
          <w:szCs w:val="28"/>
        </w:rPr>
      </w:pPr>
      <w:r w:rsidRPr="0001237D">
        <w:rPr>
          <w:b/>
          <w:sz w:val="28"/>
          <w:szCs w:val="28"/>
        </w:rPr>
        <w:t>6. Kiến nghị về cơ chế phối hợp và tổ chức thực hiện</w:t>
      </w:r>
    </w:p>
    <w:p w14:paraId="3D470597" w14:textId="77777777" w:rsidR="0001237D" w:rsidRDefault="0001237D" w:rsidP="0001237D">
      <w:pPr>
        <w:spacing w:before="120" w:after="120" w:line="22" w:lineRule="atLeast"/>
        <w:ind w:firstLine="720"/>
        <w:jc w:val="both"/>
        <w:rPr>
          <w:sz w:val="28"/>
          <w:szCs w:val="28"/>
        </w:rPr>
      </w:pPr>
      <w:r w:rsidRPr="0001237D">
        <w:rPr>
          <w:sz w:val="28"/>
          <w:szCs w:val="28"/>
        </w:rPr>
        <w:t>Cần có quy định cụ thể về trách nhiệm cung cấp thông tin của bên mua hóa chất nhằm phục vụ việc lập Phiếu kiểm soát mua bán hóa chất, bảo vệ quyền lợi hợp pháp cho doanh nghiệp bán hàng khi đối tác bất hợp tác.</w:t>
      </w:r>
    </w:p>
    <w:p w14:paraId="0C684ECE" w14:textId="192E23A1" w:rsidR="00DD0C33" w:rsidRPr="00DD0C33" w:rsidRDefault="00DD0C33" w:rsidP="0001237D">
      <w:pPr>
        <w:spacing w:before="120" w:after="120" w:line="22" w:lineRule="atLeast"/>
        <w:ind w:firstLine="720"/>
        <w:jc w:val="both"/>
        <w:rPr>
          <w:sz w:val="28"/>
          <w:szCs w:val="28"/>
        </w:rPr>
      </w:pPr>
      <w:r w:rsidRPr="00DD0C33">
        <w:rPr>
          <w:sz w:val="28"/>
          <w:szCs w:val="28"/>
        </w:rPr>
        <w:t>Cơ chế bảo mật dữ liệu: Xây dựng quy trình chia sẻ thông tin đặc thù giữa các bộ ngành, đảm bảo vừa đáp ứng yêu cầu quản lý nhà nước vừa không làm lộ bí mật quân sự (Bộ QP)</w:t>
      </w:r>
    </w:p>
    <w:p w14:paraId="1A199289" w14:textId="079A05E8" w:rsidR="00DD0C33" w:rsidRPr="0001237D" w:rsidRDefault="00DD0C33" w:rsidP="0001237D">
      <w:pPr>
        <w:spacing w:before="120" w:after="120" w:line="22" w:lineRule="atLeast"/>
        <w:ind w:firstLine="720"/>
        <w:jc w:val="both"/>
        <w:rPr>
          <w:sz w:val="28"/>
          <w:szCs w:val="28"/>
        </w:rPr>
      </w:pPr>
      <w:r w:rsidRPr="00DD0C33">
        <w:rPr>
          <w:sz w:val="28"/>
          <w:szCs w:val="28"/>
        </w:rPr>
        <w:t>Hướng dẫn liên ngành: Đề nghị Bộ KHCN chủ động phối hợp với các Bộ chuyên ngành xây dựng QCVN về khoảng cách an toàn và các phương pháp thử nghiệm để địa phương có căn cứ thực hiện thống nhất (Bộ KHCN, Bộ QP, Bộ NNMT)</w:t>
      </w:r>
      <w:bookmarkStart w:id="2" w:name="_GoBack"/>
      <w:bookmarkEnd w:id="2"/>
    </w:p>
    <w:p w14:paraId="68AE3D88" w14:textId="77777777" w:rsidR="0001237D" w:rsidRPr="0001237D" w:rsidRDefault="0001237D" w:rsidP="0001237D">
      <w:pPr>
        <w:spacing w:before="120" w:after="120" w:line="22" w:lineRule="atLeast"/>
        <w:ind w:firstLine="720"/>
        <w:jc w:val="both"/>
        <w:rPr>
          <w:sz w:val="28"/>
          <w:szCs w:val="28"/>
        </w:rPr>
      </w:pPr>
      <w:r w:rsidRPr="0001237D">
        <w:rPr>
          <w:sz w:val="28"/>
          <w:szCs w:val="28"/>
        </w:rPr>
        <w:t>Tổ chức các khóa đào tạo, bồi dưỡng nghiệp vụ chuyên sâu định kỳ cho cán bộ quản lý hóa chất ở địa phương để theo kịp tốc độ phân cấp, phân quyền và sự phát triển của công nghệ vật liệu mới</w:t>
      </w:r>
    </w:p>
    <w:p w14:paraId="00854F5C" w14:textId="17EE2528" w:rsidR="00412054" w:rsidRPr="003516FE" w:rsidRDefault="00637AD6" w:rsidP="00A57C00">
      <w:pPr>
        <w:spacing w:before="120" w:after="120" w:line="22" w:lineRule="atLeast"/>
        <w:ind w:firstLine="720"/>
        <w:jc w:val="both"/>
        <w:rPr>
          <w:sz w:val="28"/>
          <w:szCs w:val="28"/>
        </w:rPr>
      </w:pPr>
      <w:r w:rsidRPr="003516FE">
        <w:rPr>
          <w:sz w:val="28"/>
          <w:szCs w:val="28"/>
        </w:rPr>
        <w:t xml:space="preserve">Trên đây là báo cáo tổng kết thi hành Nghị định số </w:t>
      </w:r>
      <w:r w:rsidR="003F1429" w:rsidRPr="003516FE">
        <w:rPr>
          <w:sz w:val="28"/>
          <w:szCs w:val="28"/>
        </w:rPr>
        <w:t>26/2026</w:t>
      </w:r>
      <w:r w:rsidRPr="003516FE">
        <w:rPr>
          <w:sz w:val="28"/>
          <w:szCs w:val="28"/>
        </w:rPr>
        <w:t xml:space="preserve">/NĐ/CP và định hướng </w:t>
      </w:r>
      <w:r w:rsidR="003F1429" w:rsidRPr="003516FE">
        <w:rPr>
          <w:sz w:val="28"/>
          <w:szCs w:val="28"/>
        </w:rPr>
        <w:t>sửa đổi</w:t>
      </w:r>
      <w:r w:rsidRPr="003516FE">
        <w:rPr>
          <w:sz w:val="28"/>
          <w:szCs w:val="28"/>
        </w:rPr>
        <w:t xml:space="preserve"> Nghị định của Chính phủ về </w:t>
      </w:r>
      <w:r w:rsidR="00BA3172" w:rsidRPr="003516FE">
        <w:rPr>
          <w:sz w:val="28"/>
          <w:szCs w:val="28"/>
        </w:rPr>
        <w:t>quản lý hoạt động hóa chất và hóa chất nguy hiểm trong sản phẩm, hàng hóa</w:t>
      </w:r>
      <w:r w:rsidRPr="003516FE">
        <w:rPr>
          <w:sz w:val="28"/>
          <w:szCs w:val="28"/>
        </w:rPr>
        <w:t>. Bộ Công Thương kính báo cáo Chính phủ./.</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84"/>
      </w:tblGrid>
      <w:tr w:rsidR="003516FE" w:rsidRPr="003516FE" w14:paraId="01728912" w14:textId="77777777" w:rsidTr="00A57C00">
        <w:trPr>
          <w:trHeight w:val="2129"/>
        </w:trPr>
        <w:tc>
          <w:tcPr>
            <w:tcW w:w="4678" w:type="dxa"/>
          </w:tcPr>
          <w:p w14:paraId="45F6D0F9" w14:textId="77777777" w:rsidR="00672E9D" w:rsidRPr="003516FE" w:rsidRDefault="00672E9D" w:rsidP="00672E9D">
            <w:pPr>
              <w:spacing w:before="120"/>
              <w:contextualSpacing/>
              <w:rPr>
                <w:b/>
                <w:bCs/>
                <w:i/>
                <w:iCs/>
                <w:sz w:val="22"/>
                <w:szCs w:val="22"/>
              </w:rPr>
            </w:pPr>
            <w:bookmarkStart w:id="3" w:name="_Hlk209525469"/>
            <w:r w:rsidRPr="003516FE">
              <w:rPr>
                <w:b/>
                <w:bCs/>
                <w:i/>
                <w:iCs/>
                <w:sz w:val="22"/>
                <w:szCs w:val="22"/>
              </w:rPr>
              <w:t>Nơi nhận:</w:t>
            </w:r>
          </w:p>
          <w:p w14:paraId="1D48489F" w14:textId="5CE4C96B" w:rsidR="008526E8" w:rsidRPr="003516FE" w:rsidRDefault="008526E8" w:rsidP="008526E8">
            <w:pPr>
              <w:spacing w:before="120"/>
              <w:contextualSpacing/>
              <w:rPr>
                <w:sz w:val="22"/>
                <w:szCs w:val="22"/>
              </w:rPr>
            </w:pPr>
            <w:r w:rsidRPr="003516FE">
              <w:rPr>
                <w:sz w:val="22"/>
                <w:szCs w:val="22"/>
              </w:rPr>
              <w:t xml:space="preserve">- </w:t>
            </w:r>
            <w:r w:rsidR="009B78B2" w:rsidRPr="003516FE">
              <w:rPr>
                <w:sz w:val="22"/>
                <w:szCs w:val="22"/>
              </w:rPr>
              <w:t>Như trên</w:t>
            </w:r>
            <w:r w:rsidRPr="003516FE">
              <w:rPr>
                <w:sz w:val="22"/>
                <w:szCs w:val="22"/>
              </w:rPr>
              <w:t>;</w:t>
            </w:r>
          </w:p>
          <w:p w14:paraId="3E9FA03D" w14:textId="512B1993" w:rsidR="003E6115" w:rsidRPr="003516FE" w:rsidRDefault="003E6115" w:rsidP="008526E8">
            <w:pPr>
              <w:spacing w:before="120"/>
              <w:contextualSpacing/>
              <w:rPr>
                <w:sz w:val="22"/>
                <w:szCs w:val="22"/>
              </w:rPr>
            </w:pPr>
            <w:r w:rsidRPr="003516FE">
              <w:rPr>
                <w:sz w:val="22"/>
                <w:szCs w:val="22"/>
              </w:rPr>
              <w:t>- Văn phòng Chính phủ;</w:t>
            </w:r>
          </w:p>
          <w:p w14:paraId="45E4AA9D" w14:textId="4DD764C4" w:rsidR="003E6115" w:rsidRPr="003516FE" w:rsidRDefault="003E6115" w:rsidP="008526E8">
            <w:pPr>
              <w:spacing w:before="120"/>
              <w:contextualSpacing/>
              <w:rPr>
                <w:sz w:val="22"/>
                <w:szCs w:val="22"/>
              </w:rPr>
            </w:pPr>
            <w:r w:rsidRPr="003516FE">
              <w:rPr>
                <w:sz w:val="22"/>
                <w:szCs w:val="22"/>
              </w:rPr>
              <w:t>- Bộ Tư pháp;</w:t>
            </w:r>
          </w:p>
          <w:p w14:paraId="799D82AD" w14:textId="2676A693" w:rsidR="008526E8" w:rsidRPr="003516FE" w:rsidRDefault="008526E8" w:rsidP="008526E8">
            <w:pPr>
              <w:spacing w:before="120"/>
              <w:contextualSpacing/>
              <w:rPr>
                <w:sz w:val="22"/>
                <w:szCs w:val="22"/>
              </w:rPr>
            </w:pPr>
            <w:r w:rsidRPr="003516FE">
              <w:rPr>
                <w:sz w:val="22"/>
                <w:szCs w:val="22"/>
              </w:rPr>
              <w:t>- Bộ trưởng (để báo cáo);</w:t>
            </w:r>
          </w:p>
          <w:p w14:paraId="2AAB3297" w14:textId="77777777" w:rsidR="008526E8" w:rsidRPr="003516FE" w:rsidRDefault="008526E8" w:rsidP="008526E8">
            <w:pPr>
              <w:spacing w:before="120"/>
              <w:contextualSpacing/>
              <w:rPr>
                <w:sz w:val="22"/>
                <w:szCs w:val="22"/>
              </w:rPr>
            </w:pPr>
            <w:r w:rsidRPr="003516FE">
              <w:rPr>
                <w:sz w:val="22"/>
                <w:szCs w:val="22"/>
              </w:rPr>
              <w:t>- Vụ Pháp chế;</w:t>
            </w:r>
          </w:p>
          <w:p w14:paraId="3F236CD9" w14:textId="04C09B8F" w:rsidR="00672E9D" w:rsidRPr="003516FE" w:rsidRDefault="008526E8" w:rsidP="008526E8">
            <w:pPr>
              <w:spacing w:before="120"/>
              <w:contextualSpacing/>
            </w:pPr>
            <w:r w:rsidRPr="003516FE">
              <w:rPr>
                <w:sz w:val="22"/>
                <w:szCs w:val="22"/>
              </w:rPr>
              <w:t>- Lưu: VT, HC.</w:t>
            </w:r>
          </w:p>
        </w:tc>
        <w:tc>
          <w:tcPr>
            <w:tcW w:w="4384" w:type="dxa"/>
          </w:tcPr>
          <w:p w14:paraId="56BBD694" w14:textId="7868857E" w:rsidR="006D52D4" w:rsidRPr="003516FE" w:rsidRDefault="009D4249" w:rsidP="006D52D4">
            <w:pPr>
              <w:spacing w:before="120"/>
              <w:contextualSpacing/>
              <w:jc w:val="center"/>
              <w:rPr>
                <w:b/>
                <w:bCs/>
                <w:sz w:val="26"/>
                <w:szCs w:val="26"/>
              </w:rPr>
            </w:pPr>
            <w:r w:rsidRPr="003516FE">
              <w:rPr>
                <w:b/>
                <w:bCs/>
                <w:sz w:val="26"/>
                <w:szCs w:val="26"/>
              </w:rPr>
              <w:t xml:space="preserve">KT. </w:t>
            </w:r>
            <w:r w:rsidR="006D52D4" w:rsidRPr="003516FE">
              <w:rPr>
                <w:b/>
                <w:bCs/>
                <w:sz w:val="26"/>
                <w:szCs w:val="26"/>
              </w:rPr>
              <w:t>BỘ TRƯỞNG</w:t>
            </w:r>
          </w:p>
          <w:p w14:paraId="60F06ACB" w14:textId="5E034939" w:rsidR="00A57C00" w:rsidRPr="003516FE" w:rsidRDefault="009D4249" w:rsidP="009D4249">
            <w:pPr>
              <w:spacing w:before="120"/>
              <w:contextualSpacing/>
              <w:jc w:val="center"/>
              <w:rPr>
                <w:b/>
                <w:bCs/>
                <w:sz w:val="26"/>
                <w:szCs w:val="26"/>
              </w:rPr>
            </w:pPr>
            <w:r w:rsidRPr="003516FE">
              <w:rPr>
                <w:b/>
                <w:bCs/>
                <w:sz w:val="26"/>
                <w:szCs w:val="26"/>
              </w:rPr>
              <w:t>THỨ TRƯỞNG</w:t>
            </w:r>
          </w:p>
          <w:p w14:paraId="023DD3BA" w14:textId="77777777" w:rsidR="00A57C00" w:rsidRPr="003516FE" w:rsidRDefault="00A57C00" w:rsidP="00A57C00">
            <w:pPr>
              <w:spacing w:before="360"/>
              <w:rPr>
                <w:b/>
                <w:bCs/>
                <w:sz w:val="28"/>
                <w:szCs w:val="28"/>
              </w:rPr>
            </w:pPr>
          </w:p>
          <w:p w14:paraId="3F1D01D3" w14:textId="77777777" w:rsidR="009D4249" w:rsidRPr="003516FE" w:rsidRDefault="009D4249" w:rsidP="00A57C00">
            <w:pPr>
              <w:spacing w:before="360"/>
              <w:rPr>
                <w:b/>
                <w:bCs/>
                <w:sz w:val="28"/>
                <w:szCs w:val="28"/>
              </w:rPr>
            </w:pPr>
          </w:p>
          <w:p w14:paraId="4D1388C3" w14:textId="7912B6FF" w:rsidR="00672E9D" w:rsidRPr="003516FE" w:rsidRDefault="009D4249" w:rsidP="006D52D4">
            <w:pPr>
              <w:spacing w:before="120"/>
              <w:jc w:val="center"/>
              <w:rPr>
                <w:b/>
                <w:bCs/>
              </w:rPr>
            </w:pPr>
            <w:r w:rsidRPr="003516FE">
              <w:rPr>
                <w:b/>
                <w:bCs/>
                <w:sz w:val="28"/>
                <w:szCs w:val="28"/>
              </w:rPr>
              <w:t>Trương Thanh Hoài</w:t>
            </w:r>
          </w:p>
        </w:tc>
      </w:tr>
      <w:bookmarkEnd w:id="3"/>
    </w:tbl>
    <w:p w14:paraId="799F2762" w14:textId="77777777" w:rsidR="001C5DFB" w:rsidRPr="003516FE" w:rsidRDefault="00A93337" w:rsidP="001C5DFB">
      <w:pPr>
        <w:autoSpaceDE w:val="0"/>
        <w:autoSpaceDN w:val="0"/>
        <w:adjustRightInd w:val="0"/>
        <w:spacing w:after="120"/>
        <w:jc w:val="center"/>
        <w:rPr>
          <w:b/>
          <w:bCs/>
          <w:sz w:val="28"/>
          <w:szCs w:val="28"/>
          <w:lang w:val="en"/>
        </w:rPr>
      </w:pPr>
      <w:r w:rsidRPr="003516FE">
        <w:br w:type="page"/>
      </w:r>
      <w:r w:rsidR="001C5DFB" w:rsidRPr="003516FE">
        <w:rPr>
          <w:b/>
          <w:bCs/>
          <w:sz w:val="28"/>
          <w:szCs w:val="28"/>
          <w:lang w:val="en"/>
        </w:rPr>
        <w:lastRenderedPageBreak/>
        <w:t xml:space="preserve">Phụ lục </w:t>
      </w:r>
    </w:p>
    <w:p w14:paraId="69B6DAF4" w14:textId="77777777" w:rsidR="001C5DFB" w:rsidRPr="003516FE" w:rsidRDefault="001C5DFB" w:rsidP="001C5DFB">
      <w:pPr>
        <w:autoSpaceDE w:val="0"/>
        <w:autoSpaceDN w:val="0"/>
        <w:adjustRightInd w:val="0"/>
        <w:jc w:val="center"/>
        <w:rPr>
          <w:i/>
          <w:iCs/>
          <w:sz w:val="28"/>
          <w:szCs w:val="28"/>
          <w:lang w:val="en"/>
        </w:rPr>
      </w:pPr>
      <w:r w:rsidRPr="003516FE">
        <w:rPr>
          <w:i/>
          <w:iCs/>
          <w:sz w:val="28"/>
          <w:szCs w:val="28"/>
          <w:lang w:val="en"/>
        </w:rPr>
        <w:t xml:space="preserve">(Kèm theo báo cáo số            /BC-BCT ngày      tháng 10 năm 2025 của </w:t>
      </w:r>
      <w:r w:rsidRPr="003516FE">
        <w:rPr>
          <w:i/>
          <w:iCs/>
          <w:sz w:val="28"/>
          <w:szCs w:val="28"/>
          <w:lang w:val="en"/>
        </w:rPr>
        <w:br/>
        <w:t>Bộ trưởng Bộ Công Thương)</w:t>
      </w:r>
    </w:p>
    <w:p w14:paraId="26FAA253" w14:textId="00E0E052" w:rsidR="001C5DFB" w:rsidRPr="003516FE" w:rsidRDefault="001C5DFB" w:rsidP="001C5DFB">
      <w:pPr>
        <w:spacing w:line="360" w:lineRule="atLeast"/>
        <w:jc w:val="center"/>
        <w:rPr>
          <w:sz w:val="28"/>
          <w:szCs w:val="28"/>
          <w:lang w:val="en-US"/>
        </w:rPr>
      </w:pPr>
      <w:r w:rsidRPr="003516FE">
        <w:rPr>
          <w:noProof/>
          <w:sz w:val="28"/>
          <w:szCs w:val="28"/>
          <w:lang w:val="en-US"/>
        </w:rPr>
        <mc:AlternateContent>
          <mc:Choice Requires="wps">
            <w:drawing>
              <wp:anchor distT="0" distB="0" distL="114300" distR="114300" simplePos="0" relativeHeight="251662336" behindDoc="0" locked="0" layoutInCell="1" allowOverlap="1" wp14:anchorId="770799AB" wp14:editId="5A33661A">
                <wp:simplePos x="0" y="0"/>
                <wp:positionH relativeFrom="column">
                  <wp:posOffset>2329180</wp:posOffset>
                </wp:positionH>
                <wp:positionV relativeFrom="paragraph">
                  <wp:posOffset>86995</wp:posOffset>
                </wp:positionV>
                <wp:extent cx="1000760" cy="0"/>
                <wp:effectExtent l="8890" t="10795" r="9525" b="8255"/>
                <wp:wrapNone/>
                <wp:docPr id="74073418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00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9ED84"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4pt,6.85pt" to="262.2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"/>
            </w:pict>
          </mc:Fallback>
        </mc:AlternateContent>
      </w:r>
    </w:p>
    <w:p w14:paraId="78322244" w14:textId="77777777" w:rsidR="001C5DFB" w:rsidRPr="003516FE" w:rsidRDefault="001C5DFB" w:rsidP="001C5DFB">
      <w:pPr>
        <w:tabs>
          <w:tab w:val="left" w:pos="3840"/>
        </w:tabs>
        <w:spacing w:after="120"/>
        <w:ind w:firstLine="720"/>
        <w:rPr>
          <w:rFonts w:eastAsia="Calibri"/>
          <w:b/>
          <w:sz w:val="28"/>
          <w:szCs w:val="28"/>
          <w:lang w:val="nl-NL"/>
        </w:rPr>
      </w:pPr>
      <w:r w:rsidRPr="003516FE">
        <w:rPr>
          <w:rFonts w:eastAsia="Calibri"/>
          <w:b/>
          <w:sz w:val="28"/>
          <w:szCs w:val="28"/>
          <w:lang w:val="nl-NL"/>
        </w:rPr>
        <w:t>1. Chủ trương, đường lối của Đảng có liên quan đến dự thảo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2232"/>
        <w:gridCol w:w="2374"/>
        <w:gridCol w:w="2830"/>
      </w:tblGrid>
      <w:tr w:rsidR="003516FE" w:rsidRPr="003516FE" w14:paraId="6CF61C81" w14:textId="77777777" w:rsidTr="00F10736">
        <w:tc>
          <w:tcPr>
            <w:tcW w:w="1626" w:type="dxa"/>
          </w:tcPr>
          <w:p w14:paraId="36597BEC"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Quy định của Dự thảo</w:t>
            </w:r>
          </w:p>
        </w:tc>
        <w:tc>
          <w:tcPr>
            <w:tcW w:w="2232" w:type="dxa"/>
          </w:tcPr>
          <w:p w14:paraId="21F3D1E5"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Chủ trương, đường lối của Đảng</w:t>
            </w:r>
          </w:p>
        </w:tc>
        <w:tc>
          <w:tcPr>
            <w:tcW w:w="2374" w:type="dxa"/>
          </w:tcPr>
          <w:p w14:paraId="21C80AC5"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Đánh giá (đã thể chế đầy đủ hoặc một phần)</w:t>
            </w:r>
          </w:p>
        </w:tc>
        <w:tc>
          <w:tcPr>
            <w:tcW w:w="2830" w:type="dxa"/>
          </w:tcPr>
          <w:p w14:paraId="1251F379"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Đề xuất xử lý</w:t>
            </w:r>
          </w:p>
        </w:tc>
      </w:tr>
      <w:tr w:rsidR="003516FE" w:rsidRPr="003516FE" w14:paraId="32EF93F5" w14:textId="77777777" w:rsidTr="00F10736">
        <w:tc>
          <w:tcPr>
            <w:tcW w:w="1626" w:type="dxa"/>
          </w:tcPr>
          <w:p w14:paraId="38B07FDE" w14:textId="77777777" w:rsidR="001C5DFB" w:rsidRPr="003516FE" w:rsidRDefault="001C5DFB" w:rsidP="001C5DFB">
            <w:pPr>
              <w:tabs>
                <w:tab w:val="left" w:pos="3840"/>
              </w:tabs>
              <w:spacing w:before="120"/>
              <w:rPr>
                <w:rFonts w:eastAsia="Calibri"/>
                <w:bCs/>
                <w:sz w:val="28"/>
                <w:szCs w:val="28"/>
                <w:lang w:val="nl-NL"/>
              </w:rPr>
            </w:pPr>
            <w:r w:rsidRPr="003516FE">
              <w:rPr>
                <w:rFonts w:eastAsia="Calibri"/>
                <w:bCs/>
                <w:sz w:val="28"/>
                <w:szCs w:val="28"/>
                <w:lang w:val="nl-NL"/>
              </w:rPr>
              <w:t>- Điều 3</w:t>
            </w:r>
          </w:p>
          <w:p w14:paraId="66263CFD" w14:textId="55ED4C09" w:rsidR="001C5DFB" w:rsidRPr="003516FE" w:rsidRDefault="001C5DFB" w:rsidP="001C5DFB">
            <w:pPr>
              <w:tabs>
                <w:tab w:val="left" w:pos="3840"/>
              </w:tabs>
              <w:spacing w:before="120"/>
              <w:rPr>
                <w:rFonts w:eastAsia="Calibri"/>
                <w:bCs/>
                <w:sz w:val="28"/>
                <w:szCs w:val="28"/>
                <w:lang w:val="nl-NL"/>
              </w:rPr>
            </w:pPr>
            <w:r w:rsidRPr="003516FE">
              <w:rPr>
                <w:rFonts w:eastAsia="Calibri"/>
                <w:bCs/>
                <w:sz w:val="28"/>
                <w:szCs w:val="28"/>
                <w:lang w:val="nl-NL"/>
              </w:rPr>
              <w:t>- Điều 9</w:t>
            </w:r>
          </w:p>
          <w:p w14:paraId="63FEB1D7" w14:textId="77777777" w:rsidR="001C5DFB" w:rsidRPr="003516FE" w:rsidRDefault="001C5DFB" w:rsidP="001C5DFB">
            <w:pPr>
              <w:tabs>
                <w:tab w:val="left" w:pos="3840"/>
              </w:tabs>
              <w:spacing w:before="120"/>
              <w:rPr>
                <w:rFonts w:eastAsia="Calibri"/>
                <w:bCs/>
                <w:sz w:val="28"/>
                <w:szCs w:val="28"/>
                <w:lang w:val="nl-NL"/>
              </w:rPr>
            </w:pPr>
            <w:r w:rsidRPr="003516FE">
              <w:rPr>
                <w:rFonts w:eastAsia="Calibri"/>
                <w:bCs/>
                <w:sz w:val="28"/>
                <w:szCs w:val="28"/>
                <w:lang w:val="nl-NL"/>
              </w:rPr>
              <w:t>- Điều 4, 5, 7, 8, 11, 12, 16, 18</w:t>
            </w:r>
          </w:p>
          <w:p w14:paraId="5790A119" w14:textId="77777777" w:rsidR="001C5DFB" w:rsidRPr="003516FE" w:rsidRDefault="001C5DFB" w:rsidP="001C5DFB">
            <w:pPr>
              <w:tabs>
                <w:tab w:val="left" w:pos="3840"/>
              </w:tabs>
              <w:spacing w:before="120"/>
              <w:rPr>
                <w:rFonts w:eastAsia="Calibri"/>
                <w:bCs/>
                <w:sz w:val="28"/>
                <w:szCs w:val="28"/>
                <w:lang w:val="nl-NL"/>
              </w:rPr>
            </w:pPr>
            <w:r w:rsidRPr="003516FE">
              <w:rPr>
                <w:rFonts w:eastAsia="Calibri"/>
                <w:bCs/>
                <w:sz w:val="28"/>
                <w:szCs w:val="28"/>
                <w:lang w:val="nl-NL"/>
              </w:rPr>
              <w:t>- Điều 20</w:t>
            </w:r>
          </w:p>
          <w:p w14:paraId="3CF96F94" w14:textId="53484BF5" w:rsidR="001B0D64" w:rsidRPr="003516FE" w:rsidRDefault="001B0D64" w:rsidP="001C5DFB">
            <w:pPr>
              <w:tabs>
                <w:tab w:val="left" w:pos="3840"/>
              </w:tabs>
              <w:spacing w:before="120"/>
              <w:rPr>
                <w:rFonts w:eastAsia="Calibri"/>
                <w:bCs/>
                <w:sz w:val="28"/>
                <w:szCs w:val="28"/>
                <w:lang w:val="nl-NL"/>
              </w:rPr>
            </w:pPr>
            <w:r w:rsidRPr="003516FE">
              <w:rPr>
                <w:rFonts w:eastAsia="Calibri"/>
                <w:bCs/>
                <w:sz w:val="28"/>
                <w:szCs w:val="28"/>
                <w:lang w:val="nl-NL"/>
              </w:rPr>
              <w:t>- Điều 27</w:t>
            </w:r>
          </w:p>
        </w:tc>
        <w:tc>
          <w:tcPr>
            <w:tcW w:w="2232" w:type="dxa"/>
          </w:tcPr>
          <w:p w14:paraId="0070DCD8" w14:textId="43C540DB" w:rsidR="001B0D64" w:rsidRPr="003516FE" w:rsidRDefault="001B0D64" w:rsidP="001C5DFB">
            <w:pPr>
              <w:tabs>
                <w:tab w:val="left" w:pos="3840"/>
              </w:tabs>
              <w:spacing w:before="120"/>
              <w:jc w:val="both"/>
              <w:rPr>
                <w:sz w:val="28"/>
                <w:szCs w:val="28"/>
                <w:lang w:val="en-US"/>
              </w:rPr>
            </w:pPr>
            <w:r w:rsidRPr="003516FE">
              <w:rPr>
                <w:sz w:val="28"/>
                <w:szCs w:val="28"/>
                <w:lang w:val="en-US"/>
              </w:rPr>
              <w:t>- Nghị quyết số 29-NQ/TW về tiếp tục đẩy mạnh công nghiệp hóa, hiện đại hóa đất nước đến năm 2030, tầm nhìn đến năm 2045</w:t>
            </w:r>
          </w:p>
          <w:p w14:paraId="483A5EE0" w14:textId="0C3FA385" w:rsidR="001C5DFB" w:rsidRPr="003516FE" w:rsidRDefault="001C5DFB" w:rsidP="001C5DFB">
            <w:pPr>
              <w:tabs>
                <w:tab w:val="left" w:pos="3840"/>
              </w:tabs>
              <w:spacing w:before="120"/>
              <w:jc w:val="both"/>
              <w:rPr>
                <w:bCs/>
                <w:noProof/>
                <w:sz w:val="28"/>
                <w:szCs w:val="28"/>
                <w:lang w:val="en-US"/>
              </w:rPr>
            </w:pPr>
            <w:r w:rsidRPr="003516FE">
              <w:rPr>
                <w:sz w:val="28"/>
                <w:szCs w:val="28"/>
                <w:lang w:val="en-US"/>
              </w:rPr>
              <w:t xml:space="preserve">- </w:t>
            </w:r>
            <w:r w:rsidRPr="003516FE">
              <w:rPr>
                <w:bCs/>
                <w:noProof/>
                <w:sz w:val="28"/>
                <w:szCs w:val="28"/>
                <w:lang w:val="vi-VN"/>
              </w:rPr>
              <w:t>Nghị quyết số 57-NQ/TW ngày 22/12/2024 của Bộ Chính trị về đột phá phát triển khoa học, công nghệ, đổi mới sáng tạo và chuyển đổi số quốc gia</w:t>
            </w:r>
            <w:r w:rsidRPr="003516FE">
              <w:rPr>
                <w:bCs/>
                <w:noProof/>
                <w:sz w:val="28"/>
                <w:szCs w:val="28"/>
                <w:lang w:val="en-US"/>
              </w:rPr>
              <w:t>;</w:t>
            </w:r>
          </w:p>
          <w:p w14:paraId="0256969D" w14:textId="77777777" w:rsidR="001C5DFB" w:rsidRPr="003516FE" w:rsidRDefault="001C5DFB" w:rsidP="001C5DFB">
            <w:pPr>
              <w:tabs>
                <w:tab w:val="left" w:pos="3840"/>
              </w:tabs>
              <w:spacing w:before="120"/>
              <w:jc w:val="both"/>
              <w:rPr>
                <w:bCs/>
                <w:noProof/>
                <w:sz w:val="28"/>
                <w:szCs w:val="28"/>
                <w:lang w:val="en-US"/>
              </w:rPr>
            </w:pPr>
            <w:r w:rsidRPr="003516FE">
              <w:rPr>
                <w:bCs/>
                <w:noProof/>
                <w:sz w:val="28"/>
                <w:szCs w:val="28"/>
                <w:lang w:val="en-US"/>
              </w:rPr>
              <w:t>-</w:t>
            </w:r>
            <w:r w:rsidRPr="003516FE">
              <w:rPr>
                <w:bCs/>
                <w:noProof/>
                <w:sz w:val="28"/>
                <w:szCs w:val="28"/>
                <w:lang w:val="vi-VN"/>
              </w:rPr>
              <w:t xml:space="preserve"> Nghị quyết số 59-NQ/TW ngày 24/01/2025 của Bộ Chính trị về "Hội nhập quốc tế trong tình hình mới"</w:t>
            </w:r>
            <w:r w:rsidRPr="003516FE">
              <w:rPr>
                <w:bCs/>
                <w:noProof/>
                <w:sz w:val="28"/>
                <w:szCs w:val="28"/>
                <w:lang w:val="en-US"/>
              </w:rPr>
              <w:t>;</w:t>
            </w:r>
          </w:p>
          <w:p w14:paraId="4EDCB357" w14:textId="77777777" w:rsidR="001C5DFB" w:rsidRPr="003516FE" w:rsidRDefault="001C5DFB" w:rsidP="001C5DFB">
            <w:pPr>
              <w:tabs>
                <w:tab w:val="left" w:pos="3840"/>
              </w:tabs>
              <w:spacing w:before="120"/>
              <w:jc w:val="both"/>
              <w:rPr>
                <w:bCs/>
                <w:noProof/>
                <w:sz w:val="28"/>
                <w:szCs w:val="28"/>
                <w:lang w:val="en-US"/>
              </w:rPr>
            </w:pPr>
            <w:r w:rsidRPr="003516FE">
              <w:rPr>
                <w:b/>
                <w:sz w:val="28"/>
                <w:szCs w:val="28"/>
                <w:lang w:val="en-US"/>
              </w:rPr>
              <w:t xml:space="preserve">- </w:t>
            </w:r>
            <w:r w:rsidRPr="003516FE">
              <w:rPr>
                <w:bCs/>
                <w:noProof/>
                <w:sz w:val="28"/>
                <w:szCs w:val="28"/>
                <w:lang w:val="vi-VN"/>
              </w:rPr>
              <w:t xml:space="preserve">Nghị quyết số 66-NQ/TW ngày 30/04/2025 của Bộ Chính trị về "Công tác xây dựng và thi hành pháp luật đáp ứng yêu cầu phát triển </w:t>
            </w:r>
            <w:r w:rsidRPr="003516FE">
              <w:rPr>
                <w:bCs/>
                <w:noProof/>
                <w:sz w:val="28"/>
                <w:szCs w:val="28"/>
                <w:lang w:val="vi-VN"/>
              </w:rPr>
              <w:lastRenderedPageBreak/>
              <w:t>đất nước trong kỷ nguyên mới"</w:t>
            </w:r>
            <w:r w:rsidRPr="003516FE">
              <w:rPr>
                <w:bCs/>
                <w:noProof/>
                <w:sz w:val="28"/>
                <w:szCs w:val="28"/>
                <w:lang w:val="en-US"/>
              </w:rPr>
              <w:t>;</w:t>
            </w:r>
          </w:p>
          <w:p w14:paraId="03D8F431" w14:textId="77777777" w:rsidR="001C5DFB" w:rsidRPr="003516FE" w:rsidRDefault="001C5DFB" w:rsidP="001C5DFB">
            <w:pPr>
              <w:tabs>
                <w:tab w:val="left" w:pos="3840"/>
              </w:tabs>
              <w:spacing w:before="120"/>
              <w:jc w:val="both"/>
              <w:rPr>
                <w:rFonts w:eastAsia="Calibri"/>
                <w:b/>
                <w:sz w:val="28"/>
                <w:szCs w:val="28"/>
                <w:lang w:val="en-US"/>
              </w:rPr>
            </w:pPr>
            <w:r w:rsidRPr="003516FE">
              <w:rPr>
                <w:b/>
                <w:bCs/>
                <w:noProof/>
                <w:sz w:val="28"/>
                <w:szCs w:val="28"/>
                <w:lang w:val="en-US"/>
              </w:rPr>
              <w:t xml:space="preserve">- </w:t>
            </w:r>
            <w:r w:rsidRPr="003516FE">
              <w:rPr>
                <w:bCs/>
                <w:noProof/>
                <w:sz w:val="28"/>
                <w:szCs w:val="28"/>
                <w:lang w:val="vi-VN"/>
              </w:rPr>
              <w:t>Nghị quyết số 68-NQ/TW ngày 04/05/2025 của Bộ Chính trị về "phát triển kinh tế tư nhân</w:t>
            </w:r>
            <w:r w:rsidRPr="003516FE">
              <w:rPr>
                <w:bCs/>
                <w:noProof/>
                <w:sz w:val="28"/>
                <w:szCs w:val="28"/>
                <w:lang w:val="en-US"/>
              </w:rPr>
              <w:t>/</w:t>
            </w:r>
          </w:p>
        </w:tc>
        <w:tc>
          <w:tcPr>
            <w:tcW w:w="2374" w:type="dxa"/>
          </w:tcPr>
          <w:p w14:paraId="2D143C09" w14:textId="54A533C9" w:rsidR="001B047B" w:rsidRPr="003516FE" w:rsidRDefault="001B047B" w:rsidP="001C5DFB">
            <w:pPr>
              <w:spacing w:before="120"/>
              <w:jc w:val="both"/>
              <w:rPr>
                <w:sz w:val="28"/>
                <w:szCs w:val="28"/>
                <w:lang w:val="en-US"/>
              </w:rPr>
            </w:pPr>
            <w:r w:rsidRPr="003516FE">
              <w:rPr>
                <w:sz w:val="28"/>
                <w:szCs w:val="28"/>
                <w:lang w:val="en-US"/>
              </w:rPr>
              <w:lastRenderedPageBreak/>
              <w:t>Dự thảo Nghị định đã phù hợp, thể chế hoá đúng và đầy đủ đường lối, chủ trương của Đảng.</w:t>
            </w:r>
          </w:p>
          <w:p w14:paraId="11A7E814" w14:textId="0B1117FD" w:rsidR="001C5DFB" w:rsidRPr="003516FE" w:rsidRDefault="001C5DFB" w:rsidP="001C5DFB">
            <w:pPr>
              <w:tabs>
                <w:tab w:val="left" w:pos="3840"/>
              </w:tabs>
              <w:spacing w:before="120"/>
              <w:jc w:val="both"/>
              <w:rPr>
                <w:rFonts w:eastAsia="Calibri"/>
                <w:b/>
                <w:sz w:val="28"/>
                <w:szCs w:val="28"/>
                <w:lang w:val="nl-NL"/>
              </w:rPr>
            </w:pPr>
          </w:p>
        </w:tc>
        <w:tc>
          <w:tcPr>
            <w:tcW w:w="2830" w:type="dxa"/>
          </w:tcPr>
          <w:p w14:paraId="4BB661DC" w14:textId="77777777" w:rsidR="00F10736" w:rsidRPr="003516FE" w:rsidRDefault="00F10736" w:rsidP="00F10736">
            <w:pPr>
              <w:spacing w:before="120"/>
              <w:jc w:val="both"/>
              <w:rPr>
                <w:sz w:val="28"/>
                <w:szCs w:val="28"/>
                <w:lang w:val="en-US"/>
              </w:rPr>
            </w:pPr>
            <w:r w:rsidRPr="003516FE">
              <w:rPr>
                <w:sz w:val="28"/>
                <w:szCs w:val="28"/>
                <w:lang w:val="en-US"/>
              </w:rPr>
              <w:t>1. Thể chế hóa về phân cấp, phân quyền: Đảm bảo phù hợp chủ trương Trung ương tập trung quản lý vĩ mô, địa phương quyết định, địa phương làm và địa phương chịu trách nhiệm theo Kết luận số 155-KL/TW. Dự thảo đẩy mạnh phân cấp việc cấp, cấp lại, điều chỉnh Giấy chứng nhận đủ điều kiện sản xuất, kinh doanh hóa chất có điều kiện và dịch vụ tồn trữ hóa chất cho Ủy ban nhân dân cấp tỉnh</w:t>
            </w:r>
          </w:p>
          <w:p w14:paraId="127D60DA" w14:textId="77777777" w:rsidR="00F10736" w:rsidRPr="003516FE" w:rsidRDefault="00F10736" w:rsidP="00F10736">
            <w:pPr>
              <w:spacing w:before="120"/>
              <w:jc w:val="both"/>
              <w:rPr>
                <w:sz w:val="28"/>
                <w:szCs w:val="28"/>
                <w:lang w:val="en-US"/>
              </w:rPr>
            </w:pPr>
            <w:r w:rsidRPr="003516FE">
              <w:rPr>
                <w:sz w:val="28"/>
                <w:szCs w:val="28"/>
                <w:lang w:val="en-US"/>
              </w:rPr>
              <w:t>2. Cải cách thủ tục hành chính: Thiết kế hệ thống thủ tục đồng bộ, đơn giản hóa, tạo điều kiện tối đa cho doanh nghiệp (cho phép lựa chọn nộp hồ sơ tại địa phương nơi đặt trụ sở hoặc cơ sở sản xuất). Cắt giảm và đơn giản hóa các điều kiện đầu tư kinh doanh để tăng năng lực cạnh tranh quốc gia</w:t>
            </w:r>
          </w:p>
          <w:p w14:paraId="2B178E52" w14:textId="77777777" w:rsidR="00F10736" w:rsidRPr="003516FE" w:rsidRDefault="00F10736" w:rsidP="00F10736">
            <w:pPr>
              <w:spacing w:before="120"/>
              <w:jc w:val="both"/>
              <w:rPr>
                <w:sz w:val="28"/>
                <w:szCs w:val="28"/>
                <w:lang w:val="en-US"/>
              </w:rPr>
            </w:pPr>
            <w:r w:rsidRPr="003516FE">
              <w:rPr>
                <w:sz w:val="28"/>
                <w:szCs w:val="28"/>
                <w:lang w:val="en-US"/>
              </w:rPr>
              <w:t xml:space="preserve">3. Chuyển đổi số và quản trị hiện đại: Thực </w:t>
            </w:r>
            <w:r w:rsidRPr="003516FE">
              <w:rPr>
                <w:sz w:val="28"/>
                <w:szCs w:val="28"/>
                <w:lang w:val="en-US"/>
              </w:rPr>
              <w:lastRenderedPageBreak/>
              <w:t>hiện Chính phủ điện tử và dịch vụ công trực tuyến cấp độ 3, 4. Phát triển hạ tầng số, đưa dữ liệu thành tư liệu sản xuất chính thông qua việc vận hành và nâng cấp Cơ sở dữ liệu chuyên ngành hóa chất theo Nghị quyết số 57-NQ/TW</w:t>
            </w:r>
          </w:p>
          <w:p w14:paraId="60015DB2" w14:textId="77777777" w:rsidR="00F10736" w:rsidRPr="003516FE" w:rsidRDefault="00F10736" w:rsidP="00F10736">
            <w:pPr>
              <w:spacing w:before="120"/>
              <w:jc w:val="both"/>
              <w:rPr>
                <w:sz w:val="28"/>
                <w:szCs w:val="28"/>
                <w:lang w:val="en-US"/>
              </w:rPr>
            </w:pPr>
            <w:r w:rsidRPr="003516FE">
              <w:rPr>
                <w:sz w:val="28"/>
                <w:szCs w:val="28"/>
                <w:lang w:val="en-US"/>
              </w:rPr>
              <w:t>4. Quản lý dựa trên rủi ro: Định hướng quản lý hóa chất dựa trên đánh giá rủi ro để tối ưu hóa nguồn lực. Phân loại hóa chất thành nhóm có điều kiện, cần kiểm soát đặc biệt và hóa chất cấm với các biện pháp quản lý chặt chẽ phù hợp trong toàn bộ vòng đời sản phẩm</w:t>
            </w:r>
          </w:p>
          <w:p w14:paraId="717F1257" w14:textId="2F746A2E" w:rsidR="001C5DFB" w:rsidRPr="003516FE" w:rsidRDefault="00F10736" w:rsidP="00F10736">
            <w:pPr>
              <w:spacing w:before="120"/>
              <w:jc w:val="both"/>
              <w:rPr>
                <w:rFonts w:eastAsia="Calibri"/>
                <w:bCs/>
                <w:sz w:val="28"/>
                <w:szCs w:val="28"/>
                <w:lang w:val="nl-NL"/>
              </w:rPr>
            </w:pPr>
            <w:r w:rsidRPr="003516FE">
              <w:rPr>
                <w:sz w:val="28"/>
                <w:szCs w:val="28"/>
                <w:lang w:val="en-US"/>
              </w:rPr>
              <w:t>5. Phát triển kinh tế và hội nhập: Bảo vệ quyền tự do kinh doanh và cạnh tranh bình đẳng của kinh tế tư nhân theo Nghị quyết số 68-NQ/TW. Nâng cao hiệu quả hội nhập kinh tế quốc tế phục vụ xây dựng nền kinh tế độc lập, tự chủ</w:t>
            </w:r>
          </w:p>
        </w:tc>
      </w:tr>
    </w:tbl>
    <w:p w14:paraId="2C0BFDB0" w14:textId="77777777" w:rsidR="001C5DFB" w:rsidRPr="003516FE" w:rsidRDefault="001C5DFB" w:rsidP="001C5DFB">
      <w:pPr>
        <w:tabs>
          <w:tab w:val="left" w:pos="3840"/>
        </w:tabs>
        <w:spacing w:before="120" w:after="120"/>
        <w:ind w:firstLine="720"/>
        <w:rPr>
          <w:rFonts w:eastAsia="Calibri"/>
          <w:b/>
          <w:sz w:val="28"/>
          <w:szCs w:val="28"/>
          <w:lang w:val="nl-NL"/>
        </w:rPr>
      </w:pPr>
      <w:r w:rsidRPr="003516FE">
        <w:rPr>
          <w:rFonts w:eastAsia="Calibri"/>
          <w:b/>
          <w:sz w:val="28"/>
          <w:szCs w:val="28"/>
          <w:lang w:val="nl-NL"/>
        </w:rPr>
        <w:lastRenderedPageBreak/>
        <w:t>2. Văn bản quy phạm pháp luật có liên quan đến dự thảo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2623"/>
        <w:gridCol w:w="2268"/>
        <w:gridCol w:w="2688"/>
      </w:tblGrid>
      <w:tr w:rsidR="003516FE" w:rsidRPr="003516FE" w14:paraId="4A712A7E" w14:textId="77777777" w:rsidTr="00F10736">
        <w:tc>
          <w:tcPr>
            <w:tcW w:w="1483" w:type="dxa"/>
          </w:tcPr>
          <w:p w14:paraId="6310210D"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Quy định của Dự thảo văn bản</w:t>
            </w:r>
          </w:p>
        </w:tc>
        <w:tc>
          <w:tcPr>
            <w:tcW w:w="2623" w:type="dxa"/>
          </w:tcPr>
          <w:p w14:paraId="7CD0E0F0"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Quy định của Pháp luật hiện hành có liên quan</w:t>
            </w:r>
          </w:p>
        </w:tc>
        <w:tc>
          <w:tcPr>
            <w:tcW w:w="2268" w:type="dxa"/>
          </w:tcPr>
          <w:p w14:paraId="745242A2"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Đánh giá (tính hợp hiến, tính hợp pháp, tính thống nhất)</w:t>
            </w:r>
          </w:p>
        </w:tc>
        <w:tc>
          <w:tcPr>
            <w:tcW w:w="2688" w:type="dxa"/>
          </w:tcPr>
          <w:p w14:paraId="12D32CFA"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Đề xuất xử lý</w:t>
            </w:r>
          </w:p>
        </w:tc>
      </w:tr>
      <w:tr w:rsidR="003516FE" w:rsidRPr="003516FE" w14:paraId="0A84DA60" w14:textId="77777777" w:rsidTr="00F10736">
        <w:tc>
          <w:tcPr>
            <w:tcW w:w="1483" w:type="dxa"/>
          </w:tcPr>
          <w:p w14:paraId="10AFE773" w14:textId="556E77F9" w:rsidR="00F10736" w:rsidRPr="003516FE" w:rsidRDefault="00AE0C2A" w:rsidP="001C5DFB">
            <w:pPr>
              <w:tabs>
                <w:tab w:val="left" w:pos="3840"/>
              </w:tabs>
              <w:spacing w:before="120"/>
              <w:jc w:val="center"/>
              <w:rPr>
                <w:rFonts w:eastAsia="Calibri"/>
                <w:b/>
                <w:sz w:val="28"/>
                <w:szCs w:val="28"/>
                <w:lang w:val="nl-NL"/>
              </w:rPr>
            </w:pPr>
            <w:r w:rsidRPr="003516FE">
              <w:rPr>
                <w:rFonts w:eastAsia="Calibri"/>
                <w:bCs/>
                <w:sz w:val="28"/>
                <w:szCs w:val="28"/>
                <w:lang w:val="nl-NL"/>
              </w:rPr>
              <w:t>Chương II, III, IV</w:t>
            </w:r>
            <w:r w:rsidRPr="003516FE">
              <w:rPr>
                <w:rFonts w:ascii="Google Sans Text" w:hAnsi="Google Sans Text"/>
                <w:shd w:val="clear" w:color="auto" w:fill="FFFFFF"/>
              </w:rPr>
              <w:t xml:space="preserve"> (</w:t>
            </w:r>
            <w:r w:rsidRPr="003516FE">
              <w:rPr>
                <w:sz w:val="28"/>
                <w:szCs w:val="28"/>
                <w:lang w:val="en-US"/>
              </w:rPr>
              <w:t xml:space="preserve">Quản lý </w:t>
            </w:r>
            <w:r w:rsidRPr="003516FE">
              <w:rPr>
                <w:sz w:val="28"/>
                <w:szCs w:val="28"/>
                <w:lang w:val="en-US"/>
              </w:rPr>
              <w:lastRenderedPageBreak/>
              <w:t>hoạt động hóa chất; Thông tin hóa chất; Hóa chất nguy hiểm trong sản phẩm)</w:t>
            </w:r>
          </w:p>
        </w:tc>
        <w:tc>
          <w:tcPr>
            <w:tcW w:w="2623" w:type="dxa"/>
          </w:tcPr>
          <w:p w14:paraId="3F4A2663"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lastRenderedPageBreak/>
              <w:t xml:space="preserve">1. Luật Hóa chất số 69/2025/QH15 (Ban </w:t>
            </w:r>
            <w:r w:rsidRPr="003516FE">
              <w:rPr>
                <w:sz w:val="28"/>
                <w:szCs w:val="28"/>
                <w:lang w:val="en-US"/>
              </w:rPr>
              <w:lastRenderedPageBreak/>
              <w:t>hành ngày 14/6/2025</w:t>
            </w:r>
          </w:p>
          <w:p w14:paraId="0D35C7E9"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t>2. Nhóm luật về đầu tư, thương mại và chất lượng: Luật Đầu tư; Luật Đầu tư công; Luật Doanh nghiệp; Luật Thương mại; Luật Hải quan; Luật Tiêu chuẩn và quy chuẩn kỹ thuật (sửa đổi năm 2025); Luật Chất lượng sản phẩm, hàng hóa (sửa đổi năm 2025</w:t>
            </w:r>
          </w:p>
          <w:p w14:paraId="1EB5C3A9"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t>3. Nhóm luật về an toàn, an ninh: Luật Bảo vệ môi trường; Luật Phòng, chống ma túy; Luật Quản lý, sử dụng vũ khí, vật liệu nổ và công cụ hỗ trợ; Luật Phòng cháy và chữa cháy; Luật An toàn vệ sinh lao động</w:t>
            </w:r>
          </w:p>
          <w:p w14:paraId="491AF31A"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t>4. Nhóm luật về tổ chức bộ máy và ban hành văn bản: Luật Tổ chức Chính phủ; Luật Tổ chức chính quyền địa phương; Luật Ban hành văn bản quy phạm pháp luật</w:t>
            </w:r>
          </w:p>
          <w:p w14:paraId="474EED49" w14:textId="29ED0F6D" w:rsidR="00F10736" w:rsidRPr="003516FE" w:rsidRDefault="00F10736" w:rsidP="00F10736">
            <w:pPr>
              <w:tabs>
                <w:tab w:val="left" w:pos="3840"/>
              </w:tabs>
              <w:spacing w:before="120"/>
              <w:ind w:left="89"/>
              <w:jc w:val="both"/>
              <w:rPr>
                <w:rFonts w:eastAsia="Calibri"/>
                <w:b/>
                <w:sz w:val="28"/>
                <w:szCs w:val="28"/>
                <w:lang w:val="nl-NL"/>
              </w:rPr>
            </w:pPr>
            <w:r w:rsidRPr="003516FE">
              <w:rPr>
                <w:sz w:val="28"/>
                <w:szCs w:val="28"/>
                <w:lang w:val="en-US"/>
              </w:rPr>
              <w:t xml:space="preserve">5. Các Nghị định và Thông tư hướng dẫn chuyên sâu: Nghị định số 24/2026/NĐ-CP (Danh mục hóa chất); Nghị định số </w:t>
            </w:r>
            <w:r w:rsidRPr="003516FE">
              <w:rPr>
                <w:sz w:val="28"/>
                <w:szCs w:val="28"/>
                <w:lang w:val="en-US"/>
              </w:rPr>
              <w:lastRenderedPageBreak/>
              <w:t>25/2026/NĐ-CP (Phát triển công nghiệp và an toàn hóa chất); Nghị quyết số 19/2026/NQ-CP (Cắt giảm, phân cấp thủ tục hành chính)</w:t>
            </w:r>
          </w:p>
        </w:tc>
        <w:tc>
          <w:tcPr>
            <w:tcW w:w="2268" w:type="dxa"/>
          </w:tcPr>
          <w:p w14:paraId="39F1E070" w14:textId="60F13C3A" w:rsidR="00F10736" w:rsidRPr="003516FE" w:rsidRDefault="00F10736" w:rsidP="00F10736">
            <w:pPr>
              <w:tabs>
                <w:tab w:val="left" w:pos="3840"/>
              </w:tabs>
              <w:spacing w:before="120"/>
              <w:ind w:left="89"/>
              <w:jc w:val="both"/>
              <w:rPr>
                <w:rFonts w:eastAsia="Calibri"/>
                <w:b/>
                <w:sz w:val="28"/>
                <w:szCs w:val="28"/>
                <w:lang w:val="nl-NL"/>
              </w:rPr>
            </w:pPr>
            <w:r w:rsidRPr="003516FE">
              <w:rPr>
                <w:sz w:val="28"/>
                <w:szCs w:val="28"/>
                <w:lang w:val="en-US"/>
              </w:rPr>
              <w:lastRenderedPageBreak/>
              <w:t xml:space="preserve">Dự thảo Nghị định đảm bảo tính hợp hiến, </w:t>
            </w:r>
            <w:r w:rsidRPr="003516FE">
              <w:rPr>
                <w:sz w:val="28"/>
                <w:szCs w:val="28"/>
                <w:lang w:val="en-US"/>
              </w:rPr>
              <w:lastRenderedPageBreak/>
              <w:t>hợp pháp và tính thống nhất cao với hệ thống pháp luật hiện hành. Trong quá trình soạn thảo, cơ quan chủ trì đã thực hiện rà soát luật, bộ luật và các điều ước quốc tế để đảm bảo không xảy ra tình trạng chồng chéo</w:t>
            </w:r>
          </w:p>
        </w:tc>
        <w:tc>
          <w:tcPr>
            <w:tcW w:w="2688" w:type="dxa"/>
          </w:tcPr>
          <w:p w14:paraId="21CB3304" w14:textId="6847720A"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lastRenderedPageBreak/>
              <w:t xml:space="preserve">1. Đảm bảo tính cụ thể hóa: Dự thảo đã quy định chi tiết 16 </w:t>
            </w:r>
            <w:r w:rsidRPr="003516FE">
              <w:rPr>
                <w:sz w:val="28"/>
                <w:szCs w:val="28"/>
                <w:lang w:val="en-US"/>
              </w:rPr>
              <w:lastRenderedPageBreak/>
              <w:t>nội dung được giao tại Luật Hóa chất số 69/2025/QH15, giải quyết triệt để các tồn tại của giai đoạn trước</w:t>
            </w:r>
          </w:p>
          <w:p w14:paraId="37DC5113"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t>2. Thực hiện phân cấp mạnh mẽ: Thể chế hóa đúng thẩm quyền của UBND cấp tỉnh trong việc cấp phép theo định hướng tại Luật Tổ chức Chính phủ và Nghị quyết 19/2026/NQ-CP.</w:t>
            </w:r>
          </w:p>
          <w:p w14:paraId="638E7D50"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t>3. Loại bỏ sự chồng chéo: Bãi bỏ các dẫn chiếu trùng lặp về điều kiện an toàn kho bãi để áp dụng thống nhất quy định tại Chương V Nghị định số 25/2026/NĐ-CP và các quy chuẩn kỹ thuật mới</w:t>
            </w:r>
          </w:p>
          <w:p w14:paraId="27C62BCA" w14:textId="77777777" w:rsidR="00F10736" w:rsidRPr="003516FE" w:rsidRDefault="00F10736" w:rsidP="00F10736">
            <w:pPr>
              <w:tabs>
                <w:tab w:val="left" w:pos="3840"/>
              </w:tabs>
              <w:spacing w:before="120"/>
              <w:ind w:left="89"/>
              <w:jc w:val="both"/>
              <w:rPr>
                <w:sz w:val="28"/>
                <w:szCs w:val="28"/>
                <w:lang w:val="en-US"/>
              </w:rPr>
            </w:pPr>
            <w:r w:rsidRPr="003516FE">
              <w:rPr>
                <w:sz w:val="28"/>
                <w:szCs w:val="28"/>
                <w:lang w:val="en-US"/>
              </w:rPr>
              <w:t>4. Tương thông với pháp luật chuyên ngành: Đảm bảo các quy định về ghi nhãn, công bố hợp quy và đánh giá rủi ro phù hợp với Luật Chất lượng sản phẩm, hàng hóa và Luật Tiêu chuẩn, Quy chuẩn kỹ thuật vừa được sửa đổi</w:t>
            </w:r>
          </w:p>
          <w:p w14:paraId="0F3BF724" w14:textId="788AB1DB" w:rsidR="00F10736" w:rsidRPr="003516FE" w:rsidRDefault="00F10736" w:rsidP="00F10736">
            <w:pPr>
              <w:tabs>
                <w:tab w:val="left" w:pos="3840"/>
              </w:tabs>
              <w:spacing w:before="120"/>
              <w:ind w:left="89"/>
              <w:jc w:val="both"/>
              <w:rPr>
                <w:rFonts w:eastAsia="Calibri"/>
                <w:b/>
                <w:sz w:val="28"/>
                <w:szCs w:val="28"/>
                <w:lang w:val="nl-NL"/>
              </w:rPr>
            </w:pPr>
            <w:r w:rsidRPr="003516FE">
              <w:rPr>
                <w:sz w:val="28"/>
                <w:szCs w:val="28"/>
                <w:lang w:val="en-US"/>
              </w:rPr>
              <w:t xml:space="preserve">5. Thúc đẩy chuyển đổi số: Hoàn thiện hành lang pháp lý để đưa Cơ sở dữ liệu hóa chất quốc gia vào </w:t>
            </w:r>
            <w:r w:rsidRPr="003516FE">
              <w:rPr>
                <w:sz w:val="28"/>
                <w:szCs w:val="28"/>
                <w:lang w:val="en-US"/>
              </w:rPr>
              <w:lastRenderedPageBreak/>
              <w:t>thay thế các thành phần hồ sơ giấy theo Luật Công nghệ thông tin và chủ trương xây dựng Chính phủ số</w:t>
            </w:r>
          </w:p>
        </w:tc>
      </w:tr>
    </w:tbl>
    <w:p w14:paraId="4958C860" w14:textId="77777777" w:rsidR="001C5DFB" w:rsidRPr="003516FE" w:rsidRDefault="001C5DFB" w:rsidP="001C5DFB">
      <w:pPr>
        <w:tabs>
          <w:tab w:val="left" w:pos="3840"/>
        </w:tabs>
        <w:spacing w:before="120" w:after="120"/>
        <w:ind w:firstLine="720"/>
        <w:rPr>
          <w:rFonts w:eastAsia="Calibri"/>
          <w:b/>
          <w:sz w:val="28"/>
          <w:szCs w:val="28"/>
          <w:lang w:val="nl-NL"/>
        </w:rPr>
      </w:pPr>
      <w:r w:rsidRPr="003516FE">
        <w:rPr>
          <w:rFonts w:eastAsia="Calibri"/>
          <w:b/>
          <w:sz w:val="28"/>
          <w:szCs w:val="28"/>
          <w:lang w:val="nl-NL"/>
        </w:rPr>
        <w:lastRenderedPageBreak/>
        <w:t>3. Điều ước quốc tế có liên quan đến dự thảo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3034"/>
        <w:gridCol w:w="2248"/>
        <w:gridCol w:w="2275"/>
      </w:tblGrid>
      <w:tr w:rsidR="003516FE" w:rsidRPr="003516FE" w14:paraId="4DE3D382" w14:textId="77777777" w:rsidTr="00DA6B9D">
        <w:tc>
          <w:tcPr>
            <w:tcW w:w="1526" w:type="dxa"/>
          </w:tcPr>
          <w:p w14:paraId="6E0BE623"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Quy định của Dự thảo văn bản</w:t>
            </w:r>
          </w:p>
        </w:tc>
        <w:tc>
          <w:tcPr>
            <w:tcW w:w="3118" w:type="dxa"/>
          </w:tcPr>
          <w:p w14:paraId="5988C6B2"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Quy định của Điều ước quốc tế có liên quan</w:t>
            </w:r>
          </w:p>
        </w:tc>
        <w:tc>
          <w:tcPr>
            <w:tcW w:w="2322" w:type="dxa"/>
          </w:tcPr>
          <w:p w14:paraId="6F3B8FC6"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Đánh giá (tính tương thích</w:t>
            </w:r>
          </w:p>
        </w:tc>
        <w:tc>
          <w:tcPr>
            <w:tcW w:w="2322" w:type="dxa"/>
          </w:tcPr>
          <w:p w14:paraId="5B079B76" w14:textId="77777777" w:rsidR="001C5DFB" w:rsidRPr="003516FE" w:rsidRDefault="001C5DFB" w:rsidP="001C5DFB">
            <w:pPr>
              <w:tabs>
                <w:tab w:val="left" w:pos="3840"/>
              </w:tabs>
              <w:spacing w:before="120"/>
              <w:jc w:val="center"/>
              <w:rPr>
                <w:rFonts w:eastAsia="Calibri"/>
                <w:b/>
                <w:sz w:val="28"/>
                <w:szCs w:val="28"/>
                <w:lang w:val="nl-NL"/>
              </w:rPr>
            </w:pPr>
            <w:r w:rsidRPr="003516FE">
              <w:rPr>
                <w:rFonts w:eastAsia="Calibri"/>
                <w:b/>
                <w:sz w:val="28"/>
                <w:szCs w:val="28"/>
                <w:lang w:val="nl-NL"/>
              </w:rPr>
              <w:t>Đề xuất xử lý</w:t>
            </w:r>
          </w:p>
        </w:tc>
      </w:tr>
      <w:tr w:rsidR="003516FE" w:rsidRPr="003516FE" w14:paraId="075AF0D0" w14:textId="77777777" w:rsidTr="00DA6B9D">
        <w:tc>
          <w:tcPr>
            <w:tcW w:w="1526" w:type="dxa"/>
          </w:tcPr>
          <w:p w14:paraId="383613AB" w14:textId="4D91C82F" w:rsidR="001C5DFB" w:rsidRPr="003516FE" w:rsidRDefault="001C5DFB" w:rsidP="00AE0C2A">
            <w:pPr>
              <w:tabs>
                <w:tab w:val="left" w:pos="3840"/>
              </w:tabs>
              <w:spacing w:before="120"/>
              <w:jc w:val="both"/>
              <w:rPr>
                <w:rFonts w:eastAsia="Calibri"/>
                <w:bCs/>
                <w:sz w:val="28"/>
                <w:szCs w:val="28"/>
                <w:lang w:val="nl-NL"/>
              </w:rPr>
            </w:pPr>
            <w:r w:rsidRPr="003516FE">
              <w:rPr>
                <w:rFonts w:eastAsia="Calibri"/>
                <w:bCs/>
                <w:sz w:val="28"/>
                <w:szCs w:val="28"/>
                <w:lang w:val="nl-NL"/>
              </w:rPr>
              <w:t xml:space="preserve"> Chương II, III, IV</w:t>
            </w:r>
            <w:r w:rsidR="00AE0C2A" w:rsidRPr="003516FE">
              <w:rPr>
                <w:rFonts w:ascii="Google Sans Text" w:hAnsi="Google Sans Text"/>
                <w:shd w:val="clear" w:color="auto" w:fill="FFFFFF"/>
              </w:rPr>
              <w:t xml:space="preserve"> (</w:t>
            </w:r>
            <w:r w:rsidR="00AE0C2A" w:rsidRPr="003516FE">
              <w:rPr>
                <w:sz w:val="28"/>
                <w:szCs w:val="28"/>
                <w:lang w:val="en-US"/>
              </w:rPr>
              <w:t>Quản lý hoạt động hóa chất; Thông tin hóa chất; Hóa chất nguy hiểm trong sản phẩm)</w:t>
            </w:r>
          </w:p>
        </w:tc>
        <w:tc>
          <w:tcPr>
            <w:tcW w:w="3118" w:type="dxa"/>
          </w:tcPr>
          <w:p w14:paraId="52BE4A86"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1. Công ước Cấm phát triển, sản xuất, tàng trữ và sử dụng vũ khí hóa học (CWC</w:t>
            </w:r>
          </w:p>
          <w:p w14:paraId="75E36F53"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2. Công ước về chống buôn bán bất hợp pháp các chất ma túy và chất hướng thần năm 1988</w:t>
            </w:r>
          </w:p>
          <w:p w14:paraId="3132FE9B"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3. Công ước Minamata về thủy ngân</w:t>
            </w:r>
          </w:p>
          <w:p w14:paraId="77E9F304"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4. Công ước Rotterdam về đồng thuận thông báo trước đối với hóa chất nguy hại</w:t>
            </w:r>
          </w:p>
          <w:p w14:paraId="0861754C" w14:textId="5BD7F65E" w:rsidR="00AE0C2A" w:rsidRPr="003516FE" w:rsidRDefault="00AE0C2A" w:rsidP="00AE0C2A">
            <w:pPr>
              <w:tabs>
                <w:tab w:val="left" w:pos="3840"/>
              </w:tabs>
              <w:spacing w:before="120"/>
              <w:jc w:val="both"/>
              <w:rPr>
                <w:sz w:val="28"/>
                <w:szCs w:val="28"/>
                <w:lang w:val="en-US"/>
              </w:rPr>
            </w:pPr>
            <w:r w:rsidRPr="003516FE">
              <w:rPr>
                <w:sz w:val="28"/>
                <w:szCs w:val="28"/>
                <w:lang w:val="en-US"/>
              </w:rPr>
              <w:t>5. Công ước Stockholm về các chất ô nhiễm hữu cơ khó phân hủy (POP).</w:t>
            </w:r>
          </w:p>
          <w:p w14:paraId="0C39E9F6"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6. Công ước Basel về kiểm soát vận chuyển xuyên biên giới các chất thải nguy hại.</w:t>
            </w:r>
          </w:p>
          <w:p w14:paraId="34DDE89A"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7. Khung toàn cầu về Hóa chất (GFC) - tiền thân là SAICM</w:t>
            </w:r>
          </w:p>
          <w:p w14:paraId="0D9D611D" w14:textId="40313556" w:rsidR="001C5DFB" w:rsidRPr="003516FE" w:rsidRDefault="00AE0C2A" w:rsidP="00AE0C2A">
            <w:pPr>
              <w:tabs>
                <w:tab w:val="left" w:pos="3840"/>
              </w:tabs>
              <w:spacing w:before="120"/>
              <w:jc w:val="both"/>
              <w:rPr>
                <w:sz w:val="28"/>
                <w:szCs w:val="28"/>
                <w:lang w:val="en-US"/>
              </w:rPr>
            </w:pPr>
            <w:r w:rsidRPr="003516FE">
              <w:rPr>
                <w:sz w:val="28"/>
                <w:szCs w:val="28"/>
                <w:lang w:val="en-US"/>
              </w:rPr>
              <w:t xml:space="preserve">8. Các Hiệp định Thương mại tự do (FTA) thế hệ </w:t>
            </w:r>
            <w:r w:rsidRPr="003516FE">
              <w:rPr>
                <w:sz w:val="28"/>
                <w:szCs w:val="28"/>
                <w:lang w:val="en-US"/>
              </w:rPr>
              <w:lastRenderedPageBreak/>
              <w:t>mới: WTO/TBT, EVFTA, CPTPP</w:t>
            </w:r>
          </w:p>
        </w:tc>
        <w:tc>
          <w:tcPr>
            <w:tcW w:w="2322" w:type="dxa"/>
          </w:tcPr>
          <w:p w14:paraId="69A34EC7" w14:textId="4E5124F8" w:rsidR="001C5DFB" w:rsidRPr="003516FE" w:rsidRDefault="00AE0C2A" w:rsidP="001C5DFB">
            <w:pPr>
              <w:tabs>
                <w:tab w:val="left" w:pos="3840"/>
              </w:tabs>
              <w:spacing w:before="120"/>
              <w:jc w:val="both"/>
              <w:rPr>
                <w:sz w:val="28"/>
                <w:szCs w:val="28"/>
                <w:lang w:val="en-US"/>
              </w:rPr>
            </w:pPr>
            <w:r w:rsidRPr="003516FE">
              <w:rPr>
                <w:sz w:val="28"/>
                <w:szCs w:val="28"/>
                <w:lang w:val="en-US"/>
              </w:rPr>
              <w:lastRenderedPageBreak/>
              <w:t>Các nội dung đề xuất tại dự thảo Nghị định đảm bảo phù hợp hoàn toàn với các cam kết quốc tế của Việt Nam. Dự thảo không trái với các nghĩa vụ mà Việt Nam đã tham gia với tư cách thành viên</w:t>
            </w:r>
          </w:p>
        </w:tc>
        <w:tc>
          <w:tcPr>
            <w:tcW w:w="2322" w:type="dxa"/>
          </w:tcPr>
          <w:p w14:paraId="48E11C99"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1. Thực thi Công ước CWC: Tích hợp các biện pháp quản lý hóa chất Bảng, đảm bảo chế độ thông tin và thanh sát quốc tế định kỳ</w:t>
            </w:r>
          </w:p>
          <w:p w14:paraId="2DE492C1"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2. Kiểm soát tiền chất ma túy: Nội luật hóa quy định của Công ước 1988 để quản lý chặt chẽ tiền chất công nghiệp, ngăn chặn sản xuất ma túy bất hợp pháp</w:t>
            </w:r>
          </w:p>
          <w:p w14:paraId="712863BC" w14:textId="77777777" w:rsidR="00AE0C2A" w:rsidRPr="003516FE" w:rsidRDefault="00AE0C2A" w:rsidP="00AE0C2A">
            <w:pPr>
              <w:tabs>
                <w:tab w:val="left" w:pos="3840"/>
              </w:tabs>
              <w:spacing w:before="120"/>
              <w:jc w:val="both"/>
              <w:rPr>
                <w:sz w:val="28"/>
                <w:szCs w:val="28"/>
                <w:lang w:val="en-US"/>
              </w:rPr>
            </w:pPr>
            <w:r w:rsidRPr="003516FE">
              <w:rPr>
                <w:sz w:val="28"/>
                <w:szCs w:val="28"/>
                <w:lang w:val="en-US"/>
              </w:rPr>
              <w:t>3. Quản lý hóa chất độc hại: Cập nhật danh mục hóa chất cấm, hóa chất hạn chế theo đúng các phụ lục của Công ước Minamata, Rotterdam và Stockholm</w:t>
            </w:r>
          </w:p>
          <w:p w14:paraId="658E24AE" w14:textId="4BB9BCED" w:rsidR="00AE0C2A" w:rsidRPr="003516FE" w:rsidRDefault="00AE0C2A" w:rsidP="00AE0C2A">
            <w:pPr>
              <w:tabs>
                <w:tab w:val="left" w:pos="3840"/>
              </w:tabs>
              <w:spacing w:before="120"/>
              <w:jc w:val="both"/>
              <w:rPr>
                <w:sz w:val="28"/>
                <w:szCs w:val="28"/>
                <w:lang w:val="en-US"/>
              </w:rPr>
            </w:pPr>
            <w:r w:rsidRPr="003516FE">
              <w:rPr>
                <w:sz w:val="28"/>
                <w:szCs w:val="28"/>
                <w:lang w:val="en-US"/>
              </w:rPr>
              <w:t xml:space="preserve">4. Hài hòa hóa thương mại: Áp </w:t>
            </w:r>
            <w:r w:rsidRPr="003516FE">
              <w:rPr>
                <w:sz w:val="28"/>
                <w:szCs w:val="28"/>
                <w:lang w:val="en-US"/>
              </w:rPr>
              <w:lastRenderedPageBreak/>
              <w:t>dụng ngưỡng miễn trừ kiểm soát (≤ 1%) và cơ chế hỗ trợ R&amp;D phù hợp với thông lệ tại các Hiệp định EVFTA và CPTPP nhằm loại bỏ rào cản kỹ thuật dư thừa.</w:t>
            </w:r>
          </w:p>
          <w:p w14:paraId="39121FCE" w14:textId="1922162F" w:rsidR="001C5DFB" w:rsidRPr="003516FE" w:rsidRDefault="00AE0C2A" w:rsidP="00AE0C2A">
            <w:pPr>
              <w:tabs>
                <w:tab w:val="left" w:pos="3840"/>
              </w:tabs>
              <w:spacing w:before="120"/>
              <w:jc w:val="both"/>
              <w:rPr>
                <w:sz w:val="28"/>
                <w:szCs w:val="28"/>
                <w:lang w:val="en-US"/>
              </w:rPr>
            </w:pPr>
            <w:r w:rsidRPr="003516FE">
              <w:rPr>
                <w:sz w:val="28"/>
                <w:szCs w:val="28"/>
                <w:lang w:val="en-US"/>
              </w:rPr>
              <w:t>5. Hệ thống GHS: Tiếp tục hoàn thiện việc phân loại và ghi nhãn hóa chất theo Hệ thống hài hòa toàn cầu (GHS) để đồng bộ với xu hướng quốc tế</w:t>
            </w:r>
          </w:p>
        </w:tc>
      </w:tr>
    </w:tbl>
    <w:p w14:paraId="46D52046" w14:textId="77777777" w:rsidR="001C5DFB" w:rsidRPr="003516FE" w:rsidRDefault="001C5DFB" w:rsidP="001C5DFB">
      <w:pPr>
        <w:spacing w:after="120"/>
        <w:jc w:val="both"/>
        <w:rPr>
          <w:sz w:val="28"/>
          <w:szCs w:val="28"/>
          <w:lang w:val="en-US"/>
        </w:rPr>
      </w:pPr>
    </w:p>
    <w:p w14:paraId="30AF6C3F" w14:textId="3CF0E094" w:rsidR="00412054" w:rsidRPr="003516FE" w:rsidRDefault="00412054" w:rsidP="003E6115">
      <w:pPr>
        <w:spacing w:before="120" w:after="120"/>
        <w:rPr>
          <w:rFonts w:eastAsia="Calibri"/>
          <w:b/>
          <w:sz w:val="28"/>
          <w:szCs w:val="28"/>
        </w:rPr>
      </w:pPr>
    </w:p>
    <w:p w14:paraId="0718B51A" w14:textId="77777777" w:rsidR="00672E9D" w:rsidRPr="003516FE" w:rsidRDefault="00672E9D">
      <w:pPr>
        <w:spacing w:before="120"/>
        <w:rPr>
          <w:rFonts w:eastAsia="Calibri"/>
          <w:b/>
          <w:sz w:val="28"/>
          <w:szCs w:val="28"/>
        </w:rPr>
      </w:pPr>
    </w:p>
    <w:sectPr w:rsidR="00672E9D" w:rsidRPr="003516FE" w:rsidSect="00011B54">
      <w:headerReference w:type="default" r:id="rId8"/>
      <w:pgSz w:w="11907" w:h="16840"/>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DC7A2" w14:textId="77777777" w:rsidR="00D0382A" w:rsidRDefault="00D0382A">
      <w:r>
        <w:separator/>
      </w:r>
    </w:p>
  </w:endnote>
  <w:endnote w:type="continuationSeparator" w:id="0">
    <w:p w14:paraId="6738AF66" w14:textId="77777777" w:rsidR="00D0382A" w:rsidRDefault="00D0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平成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nArial">
    <w:altName w:val="Courier New"/>
    <w:charset w:val="00"/>
    <w:family w:val="swiss"/>
    <w:pitch w:val="variable"/>
    <w:sig w:usb0="00000001" w:usb1="00000000" w:usb2="00000000" w:usb3="00000000" w:csb0="00000011" w:csb1="00000000"/>
  </w:font>
  <w:font w:name="Lucida Grande">
    <w:panose1 w:val="00000000000000000000"/>
    <w:charset w:val="00"/>
    <w:family w:val="roman"/>
    <w:notTrueType/>
    <w:pitch w:val="default"/>
  </w:font>
  <w:font w:name="Time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panose1 w:val="00000000000000000000"/>
    <w:charset w:val="80"/>
    <w:family w:val="roman"/>
    <w:notTrueType/>
    <w:pitch w:val="default"/>
  </w:font>
  <w:font w:name="Georgia">
    <w:panose1 w:val="02040502050405020303"/>
    <w:charset w:val="00"/>
    <w:family w:val="roman"/>
    <w:pitch w:val="variable"/>
    <w:sig w:usb0="00000287" w:usb1="00000000" w:usb2="00000000" w:usb3="00000000" w:csb0="0000009F" w:csb1="00000000"/>
  </w:font>
  <w:font w:name="Google Sans Text">
    <w:altName w:val="Times New Roman"/>
    <w:panose1 w:val="00000000000000000000"/>
    <w:charset w:val="00"/>
    <w:family w:val="roman"/>
    <w:notTrueType/>
    <w:pitch w:val="default"/>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70E6F" w14:textId="77777777" w:rsidR="00D0382A" w:rsidRDefault="00D0382A">
      <w:r>
        <w:separator/>
      </w:r>
    </w:p>
  </w:footnote>
  <w:footnote w:type="continuationSeparator" w:id="0">
    <w:p w14:paraId="69826627" w14:textId="77777777" w:rsidR="00D0382A" w:rsidRDefault="00D03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12B2A" w14:textId="17D35A08" w:rsidR="003A4EB5" w:rsidRDefault="003A4EB5">
    <w:pPr>
      <w:pBdr>
        <w:top w:val="nil"/>
        <w:left w:val="nil"/>
        <w:bottom w:val="nil"/>
        <w:right w:val="nil"/>
        <w:between w:val="nil"/>
      </w:pBdr>
      <w:tabs>
        <w:tab w:val="center" w:pos="4680"/>
        <w:tab w:val="right" w:pos="9360"/>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DD0C33">
      <w:rPr>
        <w:noProof/>
        <w:color w:val="000000"/>
        <w:sz w:val="24"/>
        <w:szCs w:val="24"/>
      </w:rPr>
      <w:t>31</w:t>
    </w:r>
    <w:r>
      <w:rPr>
        <w:color w:val="000000"/>
        <w:sz w:val="24"/>
        <w:szCs w:val="24"/>
      </w:rPr>
      <w:fldChar w:fldCharType="end"/>
    </w:r>
  </w:p>
  <w:p w14:paraId="55119843" w14:textId="77777777" w:rsidR="003A4EB5" w:rsidRDefault="003A4EB5">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3030A9"/>
    <w:multiLevelType w:val="multilevel"/>
    <w:tmpl w:val="F5C6566C"/>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07F5DB8"/>
    <w:multiLevelType w:val="hybridMultilevel"/>
    <w:tmpl w:val="72D00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BEB3258"/>
    <w:multiLevelType w:val="hybridMultilevel"/>
    <w:tmpl w:val="CB46B396"/>
    <w:lvl w:ilvl="0" w:tplc="61AA2B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054"/>
    <w:rsid w:val="00002DBA"/>
    <w:rsid w:val="00011B54"/>
    <w:rsid w:val="0001237D"/>
    <w:rsid w:val="00036AE1"/>
    <w:rsid w:val="0005132C"/>
    <w:rsid w:val="000571EA"/>
    <w:rsid w:val="00070A07"/>
    <w:rsid w:val="00093C15"/>
    <w:rsid w:val="00096B7E"/>
    <w:rsid w:val="0012007A"/>
    <w:rsid w:val="001626A3"/>
    <w:rsid w:val="001653CD"/>
    <w:rsid w:val="001B047B"/>
    <w:rsid w:val="001B0D64"/>
    <w:rsid w:val="001B5AE2"/>
    <w:rsid w:val="001C5DFB"/>
    <w:rsid w:val="001F5940"/>
    <w:rsid w:val="00204FEF"/>
    <w:rsid w:val="00205CE1"/>
    <w:rsid w:val="00217F6B"/>
    <w:rsid w:val="00250F24"/>
    <w:rsid w:val="002668A0"/>
    <w:rsid w:val="002F3F5F"/>
    <w:rsid w:val="00300335"/>
    <w:rsid w:val="0031156A"/>
    <w:rsid w:val="00311F90"/>
    <w:rsid w:val="00312790"/>
    <w:rsid w:val="003516FE"/>
    <w:rsid w:val="003559EC"/>
    <w:rsid w:val="00367F65"/>
    <w:rsid w:val="003A4EB5"/>
    <w:rsid w:val="003E6115"/>
    <w:rsid w:val="003F1429"/>
    <w:rsid w:val="003F611E"/>
    <w:rsid w:val="00412054"/>
    <w:rsid w:val="00417CAF"/>
    <w:rsid w:val="00446C6A"/>
    <w:rsid w:val="0045772E"/>
    <w:rsid w:val="004C0C0B"/>
    <w:rsid w:val="0050041A"/>
    <w:rsid w:val="00513406"/>
    <w:rsid w:val="0055603F"/>
    <w:rsid w:val="00560215"/>
    <w:rsid w:val="00566C49"/>
    <w:rsid w:val="005A2421"/>
    <w:rsid w:val="005D3617"/>
    <w:rsid w:val="006007AE"/>
    <w:rsid w:val="0061271B"/>
    <w:rsid w:val="00637AD6"/>
    <w:rsid w:val="00653D2D"/>
    <w:rsid w:val="006630A2"/>
    <w:rsid w:val="00664F38"/>
    <w:rsid w:val="00672E9D"/>
    <w:rsid w:val="006869D1"/>
    <w:rsid w:val="00691F58"/>
    <w:rsid w:val="006B10F4"/>
    <w:rsid w:val="006B5F75"/>
    <w:rsid w:val="006B6A94"/>
    <w:rsid w:val="006C0A07"/>
    <w:rsid w:val="006D52D4"/>
    <w:rsid w:val="006D701C"/>
    <w:rsid w:val="006F6D5B"/>
    <w:rsid w:val="00705B6A"/>
    <w:rsid w:val="00797C7C"/>
    <w:rsid w:val="007B7049"/>
    <w:rsid w:val="00846210"/>
    <w:rsid w:val="008526E8"/>
    <w:rsid w:val="00856C3B"/>
    <w:rsid w:val="008767D5"/>
    <w:rsid w:val="0087701E"/>
    <w:rsid w:val="0089241D"/>
    <w:rsid w:val="008B2F3B"/>
    <w:rsid w:val="008B744C"/>
    <w:rsid w:val="008C57B4"/>
    <w:rsid w:val="0090090A"/>
    <w:rsid w:val="00904678"/>
    <w:rsid w:val="00904C16"/>
    <w:rsid w:val="00914DF4"/>
    <w:rsid w:val="0093790A"/>
    <w:rsid w:val="0096450F"/>
    <w:rsid w:val="009B78B2"/>
    <w:rsid w:val="009C07C4"/>
    <w:rsid w:val="009D0F67"/>
    <w:rsid w:val="009D4249"/>
    <w:rsid w:val="009D7FC7"/>
    <w:rsid w:val="009E67D7"/>
    <w:rsid w:val="00A12818"/>
    <w:rsid w:val="00A35341"/>
    <w:rsid w:val="00A510B8"/>
    <w:rsid w:val="00A53FE2"/>
    <w:rsid w:val="00A57C00"/>
    <w:rsid w:val="00A769B4"/>
    <w:rsid w:val="00A77C4D"/>
    <w:rsid w:val="00A81520"/>
    <w:rsid w:val="00A90DFF"/>
    <w:rsid w:val="00A93337"/>
    <w:rsid w:val="00AB08CA"/>
    <w:rsid w:val="00AB727E"/>
    <w:rsid w:val="00AC55B7"/>
    <w:rsid w:val="00AC7E68"/>
    <w:rsid w:val="00AE0C2A"/>
    <w:rsid w:val="00B13FB8"/>
    <w:rsid w:val="00B20938"/>
    <w:rsid w:val="00B479C7"/>
    <w:rsid w:val="00B74556"/>
    <w:rsid w:val="00B90DDB"/>
    <w:rsid w:val="00B928B5"/>
    <w:rsid w:val="00B930BB"/>
    <w:rsid w:val="00B95B28"/>
    <w:rsid w:val="00BA3172"/>
    <w:rsid w:val="00BB5090"/>
    <w:rsid w:val="00BB6BF7"/>
    <w:rsid w:val="00BC6169"/>
    <w:rsid w:val="00BF3A65"/>
    <w:rsid w:val="00BF7F6F"/>
    <w:rsid w:val="00C21699"/>
    <w:rsid w:val="00C917D0"/>
    <w:rsid w:val="00CE1FE5"/>
    <w:rsid w:val="00CE7635"/>
    <w:rsid w:val="00D0382A"/>
    <w:rsid w:val="00D128A3"/>
    <w:rsid w:val="00D531A1"/>
    <w:rsid w:val="00D54F16"/>
    <w:rsid w:val="00D65345"/>
    <w:rsid w:val="00DA6B9D"/>
    <w:rsid w:val="00DD0C33"/>
    <w:rsid w:val="00DE4DA8"/>
    <w:rsid w:val="00E27F33"/>
    <w:rsid w:val="00E4099B"/>
    <w:rsid w:val="00E567AA"/>
    <w:rsid w:val="00E67E0F"/>
    <w:rsid w:val="00E75F8D"/>
    <w:rsid w:val="00EB6AE5"/>
    <w:rsid w:val="00EE2D45"/>
    <w:rsid w:val="00EF72C8"/>
    <w:rsid w:val="00F10736"/>
    <w:rsid w:val="00F235C1"/>
    <w:rsid w:val="00F61653"/>
    <w:rsid w:val="00F65310"/>
    <w:rsid w:val="00F85D45"/>
    <w:rsid w:val="00FB264C"/>
    <w:rsid w:val="00FB6A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9B250"/>
  <w15:docId w15:val="{24232D8B-EEDA-41F2-996A-FDB85B47E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af-Z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77F"/>
    <w:rPr>
      <w:lang w:val="en-AU"/>
    </w:rPr>
  </w:style>
  <w:style w:type="paragraph" w:styleId="Heading1">
    <w:name w:val="heading 1"/>
    <w:aliases w:val="Heading 1A,Document Title,titMH,Heading 1 Char2 Char,Heading 1 Char Char2 Char, Char2 Char Char2 Char,Heading 1 Char Char Char1 Char,Heading 1 Char1 Char1 Char, Char2 Char Char Char1 Char, Char2 Char1 Char Char1, Char2 Char,Char2 Char"/>
    <w:basedOn w:val="Normal"/>
    <w:next w:val="Normal"/>
    <w:link w:val="Heading1Char"/>
    <w:uiPriority w:val="9"/>
    <w:qFormat/>
    <w:pPr>
      <w:keepNext/>
      <w:outlineLvl w:val="0"/>
    </w:pPr>
    <w:rPr>
      <w:rFonts w:ascii=".VnTime" w:hAnsi=".VnTime"/>
      <w:sz w:val="28"/>
      <w:lang w:val="en-US"/>
    </w:rPr>
  </w:style>
  <w:style w:type="paragraph" w:styleId="Heading2">
    <w:name w:val="heading 2"/>
    <w:aliases w:val="2 headline,h,Heading 2 Char Char Char,标题2"/>
    <w:basedOn w:val="Normal"/>
    <w:next w:val="Normal"/>
    <w:link w:val="Heading2Char"/>
    <w:uiPriority w:val="9"/>
    <w:semiHidden/>
    <w:unhideWhenUsed/>
    <w:qFormat/>
    <w:pPr>
      <w:keepNext/>
      <w:ind w:left="1440" w:firstLine="720"/>
      <w:outlineLvl w:val="1"/>
    </w:pPr>
    <w:rPr>
      <w:rFonts w:ascii=".VnTime" w:hAnsi=".VnTime"/>
      <w:b/>
      <w:bCs/>
      <w:sz w:val="28"/>
      <w:lang w:val="en-US"/>
    </w:rPr>
  </w:style>
  <w:style w:type="paragraph" w:styleId="Heading3">
    <w:name w:val="heading 3"/>
    <w:basedOn w:val="Normal"/>
    <w:next w:val="Normal"/>
    <w:link w:val="Heading3Char"/>
    <w:uiPriority w:val="9"/>
    <w:semiHidden/>
    <w:unhideWhenUsed/>
    <w:qFormat/>
    <w:pPr>
      <w:keepNext/>
      <w:ind w:left="2880" w:firstLine="720"/>
      <w:jc w:val="center"/>
      <w:outlineLvl w:val="2"/>
    </w:pPr>
    <w:rPr>
      <w:rFonts w:ascii=".VnTime" w:hAnsi=".VnTime"/>
      <w:b/>
      <w:sz w:val="28"/>
    </w:rPr>
  </w:style>
  <w:style w:type="paragraph" w:styleId="Heading4">
    <w:name w:val="heading 4"/>
    <w:basedOn w:val="Normal"/>
    <w:next w:val="Normal"/>
    <w:link w:val="Heading4Char"/>
    <w:uiPriority w:val="9"/>
    <w:semiHidden/>
    <w:unhideWhenUsed/>
    <w:qFormat/>
    <w:rsid w:val="00DE4F0E"/>
    <w:pPr>
      <w:keepNext/>
      <w:ind w:left="1200"/>
      <w:outlineLvl w:val="3"/>
    </w:pPr>
    <w:rPr>
      <w:rFonts w:ascii=".VnTime" w:hAnsi=".VnTime"/>
      <w:b/>
      <w:bCs/>
      <w:sz w:val="28"/>
      <w:lang w:val="en-US"/>
    </w:rPr>
  </w:style>
  <w:style w:type="paragraph" w:styleId="Heading5">
    <w:name w:val="heading 5"/>
    <w:basedOn w:val="Normal"/>
    <w:next w:val="Normal"/>
    <w:link w:val="Heading5Char"/>
    <w:uiPriority w:val="9"/>
    <w:semiHidden/>
    <w:unhideWhenUsed/>
    <w:qFormat/>
    <w:rsid w:val="002B6321"/>
    <w:pPr>
      <w:keepNext/>
      <w:keepLines/>
      <w:spacing w:before="200"/>
      <w:outlineLvl w:val="4"/>
    </w:pPr>
    <w:rPr>
      <w:color w:val="2F5496"/>
      <w:sz w:val="25"/>
      <w:szCs w:val="24"/>
      <w:lang w:val="en-US"/>
    </w:rPr>
  </w:style>
  <w:style w:type="paragraph" w:styleId="Heading6">
    <w:name w:val="heading 6"/>
    <w:basedOn w:val="Normal"/>
    <w:next w:val="Normal"/>
    <w:link w:val="Heading6Char"/>
    <w:uiPriority w:val="9"/>
    <w:semiHidden/>
    <w:unhideWhenUsed/>
    <w:qFormat/>
    <w:rsid w:val="002B6321"/>
    <w:pPr>
      <w:keepNext/>
      <w:keepLines/>
      <w:spacing w:before="200" w:line="288" w:lineRule="auto"/>
      <w:ind w:left="1151" w:hanging="1151"/>
      <w:jc w:val="both"/>
      <w:outlineLvl w:val="5"/>
    </w:pPr>
    <w:rPr>
      <w:i/>
      <w:iCs/>
      <w:sz w:val="26"/>
      <w:szCs w:val="24"/>
      <w:lang w:val="en-US" w:eastAsia="ja-JP"/>
    </w:rPr>
  </w:style>
  <w:style w:type="paragraph" w:styleId="Heading7">
    <w:name w:val="heading 7"/>
    <w:basedOn w:val="Normal"/>
    <w:next w:val="Normal"/>
    <w:link w:val="Heading7Char"/>
    <w:uiPriority w:val="9"/>
    <w:semiHidden/>
    <w:unhideWhenUsed/>
    <w:qFormat/>
    <w:rsid w:val="002B6321"/>
    <w:pPr>
      <w:keepNext/>
      <w:keepLines/>
      <w:spacing w:before="200" w:line="288" w:lineRule="auto"/>
      <w:ind w:left="1298" w:hanging="1298"/>
      <w:jc w:val="both"/>
      <w:outlineLvl w:val="6"/>
    </w:pPr>
    <w:rPr>
      <w:i/>
      <w:iCs/>
      <w:sz w:val="26"/>
      <w:szCs w:val="24"/>
      <w:lang w:val="en-US" w:eastAsia="ja-JP"/>
    </w:rPr>
  </w:style>
  <w:style w:type="paragraph" w:styleId="Heading8">
    <w:name w:val="heading 8"/>
    <w:basedOn w:val="Normal"/>
    <w:next w:val="Normal"/>
    <w:link w:val="Heading8Char"/>
    <w:uiPriority w:val="9"/>
    <w:semiHidden/>
    <w:unhideWhenUsed/>
    <w:qFormat/>
    <w:rsid w:val="002B6321"/>
    <w:pPr>
      <w:keepNext/>
      <w:keepLines/>
      <w:spacing w:before="200" w:line="288" w:lineRule="auto"/>
      <w:ind w:left="1440" w:hanging="1440"/>
      <w:jc w:val="both"/>
      <w:outlineLvl w:val="7"/>
    </w:pPr>
    <w:rPr>
      <w:rFonts w:ascii="Cambria" w:hAnsi="Cambria"/>
      <w:color w:val="40404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2B6321"/>
    <w:pPr>
      <w:spacing w:line="400" w:lineRule="exact"/>
      <w:jc w:val="center"/>
    </w:pPr>
    <w:rPr>
      <w:rFonts w:ascii=".VnArialH" w:hAnsi=".VnArialH"/>
      <w:b/>
      <w:sz w:val="28"/>
      <w:lang w:val="en-US"/>
    </w:rPr>
  </w:style>
  <w:style w:type="paragraph" w:styleId="BodyTextIndent">
    <w:name w:val="Body Text Indent"/>
    <w:aliases w:val="Body Text Indent Char1,Body Text Indent Char1 Char Char Char,Body Text Indent Char1 Char Char,Body Text Indent Char1 Char Char Char Char  Char Char Char"/>
    <w:basedOn w:val="Normal"/>
    <w:link w:val="BodyTextIndentChar"/>
    <w:pPr>
      <w:spacing w:before="120"/>
      <w:ind w:firstLine="720"/>
      <w:jc w:val="both"/>
    </w:pPr>
    <w:rPr>
      <w:rFonts w:ascii=".VnTime" w:hAnsi=".VnTime"/>
      <w:sz w:val="28"/>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table" w:styleId="TableGrid">
    <w:name w:val="Table Grid"/>
    <w:aliases w:val="unTra lai em niem vui khi duoc gan ben em,tra lai em loi yeu thuong em dem,tra lai em niem tin thang nam qua ta dap xay. Gio day chi la nhung ky niem buon... http://nhatquanglan.xlphp.net/"/>
    <w:basedOn w:val="TableNormal"/>
    <w:rsid w:val="00EE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ody Text Char2,Body Text Char1 Char,Body Text Char2 Char Char,Body Text Char1 Char Char Char,Body Text Char3 Char Char Char Char,Body Text Char2 Char Char Char Char Char,Body Text Char1 Char Char Char Char Char Char,Body Text Char Char1"/>
    <w:basedOn w:val="Normal"/>
    <w:link w:val="BodyTextChar"/>
    <w:rsid w:val="00DE4F0E"/>
    <w:pPr>
      <w:jc w:val="both"/>
    </w:pPr>
    <w:rPr>
      <w:rFonts w:ascii=".VnTime" w:hAnsi=".VnTime"/>
      <w:sz w:val="28"/>
      <w:lang w:val="en-US"/>
    </w:rPr>
  </w:style>
  <w:style w:type="paragraph" w:styleId="BalloonText">
    <w:name w:val="Balloon Text"/>
    <w:basedOn w:val="Normal"/>
    <w:link w:val="BalloonTextChar"/>
    <w:uiPriority w:val="99"/>
    <w:semiHidden/>
    <w:rsid w:val="002F61C5"/>
    <w:rPr>
      <w:rFonts w:ascii="Tahoma" w:hAnsi="Tahoma" w:cs="Tahoma"/>
      <w:sz w:val="16"/>
      <w:szCs w:val="16"/>
    </w:rPr>
  </w:style>
  <w:style w:type="paragraph" w:styleId="Header">
    <w:name w:val="header"/>
    <w:basedOn w:val="Normal"/>
    <w:link w:val="HeaderChar"/>
    <w:uiPriority w:val="99"/>
    <w:rsid w:val="0098419C"/>
    <w:pPr>
      <w:tabs>
        <w:tab w:val="center" w:pos="4680"/>
        <w:tab w:val="right" w:pos="9360"/>
      </w:tabs>
    </w:pPr>
  </w:style>
  <w:style w:type="character" w:customStyle="1" w:styleId="HeaderChar">
    <w:name w:val="Header Char"/>
    <w:link w:val="Header"/>
    <w:uiPriority w:val="99"/>
    <w:rsid w:val="0098419C"/>
    <w:rPr>
      <w:lang w:val="en-AU"/>
    </w:rPr>
  </w:style>
  <w:style w:type="character" w:customStyle="1" w:styleId="apple-converted-space">
    <w:name w:val="apple-converted-space"/>
    <w:basedOn w:val="DefaultParagraphFont"/>
    <w:rsid w:val="00C8211F"/>
  </w:style>
  <w:style w:type="character" w:customStyle="1" w:styleId="BodyTextIndentChar">
    <w:name w:val="Body Text Indent Char"/>
    <w:aliases w:val="Body Text Indent Char1 Char1,Body Text Indent Char1 Char Char Char Char1,Body Text Indent Char1 Char Char Char2,Body Text Indent Char1 Char Char Char Char  Char Char Char Char1"/>
    <w:link w:val="BodyTextIndent"/>
    <w:rsid w:val="001D4D0E"/>
    <w:rPr>
      <w:rFonts w:ascii=".VnTime" w:hAnsi=".VnTime"/>
      <w:sz w:val="28"/>
    </w:rPr>
  </w:style>
  <w:style w:type="character" w:customStyle="1" w:styleId="FooterChar">
    <w:name w:val="Footer Char"/>
    <w:link w:val="Footer"/>
    <w:uiPriority w:val="99"/>
    <w:rsid w:val="005C4DDF"/>
    <w:rPr>
      <w:lang w:val="en-AU"/>
    </w:rPr>
  </w:style>
  <w:style w:type="character" w:customStyle="1" w:styleId="BodyTextChar">
    <w:name w:val="Body Text Char"/>
    <w:aliases w:val="Body Text Char2 Char,Body Text Char1 Char Char,Body Text Char2 Char Char Char,Body Text Char1 Char Char Char Char,Body Text Char3 Char Char Char Char Char,Body Text Char2 Char Char Char Char Char Char,Body Text Char Char1 Char"/>
    <w:link w:val="BodyText"/>
    <w:rsid w:val="000F558C"/>
    <w:rPr>
      <w:rFonts w:ascii=".VnTime" w:hAnsi=".VnTime"/>
      <w:sz w:val="28"/>
    </w:rPr>
  </w:style>
  <w:style w:type="paragraph" w:customStyle="1" w:styleId="CharCharCharChar">
    <w:name w:val="Char Char Char Char"/>
    <w:basedOn w:val="Normal"/>
    <w:autoRedefine/>
    <w:rsid w:val="00C33F81"/>
    <w:pPr>
      <w:spacing w:after="160" w:line="240" w:lineRule="exact"/>
    </w:pPr>
    <w:rPr>
      <w:rFonts w:ascii="Verdana" w:hAnsi="Verdana" w:cs="Verdana"/>
      <w:lang w:val="en-US"/>
    </w:rPr>
  </w:style>
  <w:style w:type="character" w:customStyle="1" w:styleId="Vnbnnidung">
    <w:name w:val="Văn bản nội dung_"/>
    <w:link w:val="Vnbnnidung0"/>
    <w:rsid w:val="00C33F81"/>
    <w:rPr>
      <w:sz w:val="27"/>
      <w:szCs w:val="27"/>
      <w:shd w:val="clear" w:color="auto" w:fill="FFFFFF"/>
    </w:rPr>
  </w:style>
  <w:style w:type="paragraph" w:customStyle="1" w:styleId="Vnbnnidung0">
    <w:name w:val="Văn bản nội dung"/>
    <w:basedOn w:val="Normal"/>
    <w:link w:val="Vnbnnidung"/>
    <w:rsid w:val="00C33F81"/>
    <w:pPr>
      <w:widowControl w:val="0"/>
      <w:shd w:val="clear" w:color="auto" w:fill="FFFFFF"/>
      <w:spacing w:before="300" w:after="60" w:line="0" w:lineRule="atLeast"/>
      <w:jc w:val="center"/>
    </w:pPr>
    <w:rPr>
      <w:sz w:val="27"/>
      <w:szCs w:val="27"/>
      <w:lang w:val="en-US"/>
    </w:rPr>
  </w:style>
  <w:style w:type="character" w:customStyle="1" w:styleId="Heading2Char">
    <w:name w:val="Heading 2 Char"/>
    <w:aliases w:val="2 headline Char,h Char,Heading 2 Char Char Char Char,标题2 Char"/>
    <w:link w:val="Heading2"/>
    <w:rsid w:val="00F22650"/>
    <w:rPr>
      <w:rFonts w:ascii=".VnTime" w:hAnsi=".VnTime"/>
      <w:b/>
      <w:bCs/>
      <w:sz w:val="28"/>
    </w:rPr>
  </w:style>
  <w:style w:type="character" w:customStyle="1" w:styleId="normal-p-h1">
    <w:name w:val="normal-p-h1"/>
    <w:rsid w:val="00F22650"/>
    <w:rPr>
      <w:rFonts w:ascii="Times New Roman" w:hAnsi="Times New Roman" w:cs="Times New Roman" w:hint="default"/>
      <w:sz w:val="20"/>
      <w:szCs w:val="20"/>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ANNEX"/>
    <w:basedOn w:val="Normal"/>
    <w:link w:val="ListParagraphChar"/>
    <w:uiPriority w:val="34"/>
    <w:qFormat/>
    <w:rsid w:val="009711DA"/>
    <w:pPr>
      <w:ind w:left="720"/>
      <w:contextualSpacing/>
    </w:pPr>
    <w:rPr>
      <w:rFonts w:eastAsia="Calibri"/>
      <w:b/>
      <w:noProof/>
      <w:lang w:val="vi-VN" w:eastAsia="vi-VN"/>
    </w:r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ANNEX Char"/>
    <w:link w:val="ListParagraph"/>
    <w:uiPriority w:val="34"/>
    <w:qFormat/>
    <w:locked/>
    <w:rsid w:val="009711DA"/>
    <w:rPr>
      <w:rFonts w:eastAsia="Calibri"/>
      <w:b/>
      <w:noProof/>
      <w:lang w:val="vi-VN" w:eastAsia="vi-VN"/>
    </w:rPr>
  </w:style>
  <w:style w:type="paragraph" w:styleId="ListBullet">
    <w:name w:val="List Bullet"/>
    <w:basedOn w:val="Normal"/>
    <w:rsid w:val="009711DA"/>
    <w:pPr>
      <w:numPr>
        <w:numId w:val="1"/>
      </w:numPr>
    </w:pPr>
    <w:rPr>
      <w:sz w:val="24"/>
      <w:szCs w:val="24"/>
      <w:lang w:val="en-US"/>
    </w:rPr>
  </w:style>
  <w:style w:type="character" w:styleId="Hyperlink">
    <w:name w:val="Hyperlink"/>
    <w:uiPriority w:val="99"/>
    <w:unhideWhenUsed/>
    <w:rsid w:val="009711DA"/>
    <w:rPr>
      <w:color w:val="0000FF"/>
      <w:u w:val="single"/>
    </w:rPr>
  </w:style>
  <w:style w:type="character" w:styleId="Emphasis">
    <w:name w:val="Emphasis"/>
    <w:uiPriority w:val="20"/>
    <w:qFormat/>
    <w:rsid w:val="008C77A7"/>
    <w:rPr>
      <w:i/>
      <w:iCs/>
    </w:rPr>
  </w:style>
  <w:style w:type="character" w:styleId="CommentReference">
    <w:name w:val="annotation reference"/>
    <w:uiPriority w:val="99"/>
    <w:rsid w:val="00EA334C"/>
    <w:rPr>
      <w:sz w:val="16"/>
      <w:szCs w:val="16"/>
    </w:rPr>
  </w:style>
  <w:style w:type="paragraph" w:styleId="CommentText">
    <w:name w:val="annotation text"/>
    <w:basedOn w:val="Normal"/>
    <w:link w:val="CommentTextChar"/>
    <w:uiPriority w:val="99"/>
    <w:rsid w:val="00EA334C"/>
  </w:style>
  <w:style w:type="character" w:customStyle="1" w:styleId="CommentTextChar">
    <w:name w:val="Comment Text Char"/>
    <w:link w:val="CommentText"/>
    <w:uiPriority w:val="99"/>
    <w:rsid w:val="00EA334C"/>
    <w:rPr>
      <w:lang w:val="en-AU"/>
    </w:rPr>
  </w:style>
  <w:style w:type="paragraph" w:styleId="CommentSubject">
    <w:name w:val="annotation subject"/>
    <w:basedOn w:val="CommentText"/>
    <w:next w:val="CommentText"/>
    <w:link w:val="CommentSubjectChar"/>
    <w:uiPriority w:val="99"/>
    <w:rsid w:val="00EA334C"/>
    <w:rPr>
      <w:b/>
      <w:bCs/>
    </w:rPr>
  </w:style>
  <w:style w:type="character" w:customStyle="1" w:styleId="CommentSubjectChar">
    <w:name w:val="Comment Subject Char"/>
    <w:link w:val="CommentSubject"/>
    <w:uiPriority w:val="99"/>
    <w:rsid w:val="00EA334C"/>
    <w:rPr>
      <w:b/>
      <w:bCs/>
      <w:lang w:val="en-AU"/>
    </w:rPr>
  </w:style>
  <w:style w:type="paragraph" w:styleId="NormalWeb">
    <w:name w:val="Normal (Web)"/>
    <w:aliases w:val=" webb,webb"/>
    <w:basedOn w:val="Normal"/>
    <w:link w:val="NormalWebChar"/>
    <w:uiPriority w:val="99"/>
    <w:unhideWhenUsed/>
    <w:rsid w:val="005B3B53"/>
    <w:pPr>
      <w:spacing w:before="100" w:beforeAutospacing="1" w:after="100" w:afterAutospacing="1"/>
    </w:pPr>
    <w:rPr>
      <w:sz w:val="24"/>
      <w:szCs w:val="24"/>
      <w:lang w:val="en-US"/>
    </w:rPr>
  </w:style>
  <w:style w:type="paragraph" w:styleId="FootnoteText">
    <w:name w:val="footnote text"/>
    <w:aliases w:val="Geneva 9,Font: Geneva 9,Boston 10,f"/>
    <w:basedOn w:val="Normal"/>
    <w:link w:val="FootnoteTextChar"/>
    <w:rsid w:val="00DF57A1"/>
  </w:style>
  <w:style w:type="character" w:customStyle="1" w:styleId="FootnoteTextChar">
    <w:name w:val="Footnote Text Char"/>
    <w:aliases w:val="Geneva 9 Char,Font: Geneva 9 Char,Boston 10 Char,f Char"/>
    <w:link w:val="FootnoteText"/>
    <w:rsid w:val="00DF57A1"/>
    <w:rPr>
      <w:lang w:val="en-AU"/>
    </w:rPr>
  </w:style>
  <w:style w:type="character" w:styleId="FootnoteReference">
    <w:name w:val="footnote reference"/>
    <w:aliases w:val="16 Point,Superscript 6 Point"/>
    <w:rsid w:val="00DF57A1"/>
    <w:rPr>
      <w:vertAlign w:val="superscript"/>
    </w:rPr>
  </w:style>
  <w:style w:type="paragraph" w:customStyle="1" w:styleId="CharCharCharChar0">
    <w:name w:val="Char Char Char Char"/>
    <w:basedOn w:val="Normal"/>
    <w:autoRedefine/>
    <w:rsid w:val="00B06E84"/>
    <w:pPr>
      <w:spacing w:after="160" w:line="240" w:lineRule="exact"/>
    </w:pPr>
    <w:rPr>
      <w:rFonts w:ascii="Verdana" w:hAnsi="Verdana" w:cs="Verdana"/>
      <w:lang w:val="en-US"/>
    </w:rPr>
  </w:style>
  <w:style w:type="character" w:customStyle="1" w:styleId="Heading4Char">
    <w:name w:val="Heading 4 Char"/>
    <w:basedOn w:val="DefaultParagraphFont"/>
    <w:link w:val="Heading4"/>
    <w:uiPriority w:val="9"/>
    <w:rsid w:val="004E5477"/>
    <w:rPr>
      <w:rFonts w:ascii=".VnTime" w:hAnsi=".VnTime"/>
      <w:b/>
      <w:bCs/>
      <w:sz w:val="28"/>
      <w:lang w:val="en-US" w:eastAsia="en-US"/>
    </w:rPr>
  </w:style>
  <w:style w:type="paragraph" w:styleId="HTMLPreformatted">
    <w:name w:val="HTML Preformatted"/>
    <w:basedOn w:val="Normal"/>
    <w:link w:val="HTMLPreformattedChar"/>
    <w:uiPriority w:val="99"/>
    <w:unhideWhenUsed/>
    <w:rsid w:val="00402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4021B5"/>
    <w:rPr>
      <w:rFonts w:ascii="Courier New" w:hAnsi="Courier New" w:cs="Courier New"/>
      <w:lang w:val="en-US" w:eastAsia="en-US"/>
    </w:rPr>
  </w:style>
  <w:style w:type="character" w:customStyle="1" w:styleId="y2iqfc">
    <w:name w:val="y2iqfc"/>
    <w:basedOn w:val="DefaultParagraphFont"/>
    <w:rsid w:val="00BD360F"/>
  </w:style>
  <w:style w:type="paragraph" w:customStyle="1" w:styleId="Heading51">
    <w:name w:val="Heading 51"/>
    <w:basedOn w:val="Normal"/>
    <w:next w:val="Normal"/>
    <w:uiPriority w:val="9"/>
    <w:unhideWhenUsed/>
    <w:qFormat/>
    <w:rsid w:val="002B6321"/>
    <w:pPr>
      <w:keepNext/>
      <w:keepLines/>
      <w:spacing w:before="40" w:line="312" w:lineRule="auto"/>
      <w:jc w:val="both"/>
      <w:outlineLvl w:val="4"/>
    </w:pPr>
    <w:rPr>
      <w:color w:val="2F5496"/>
      <w:sz w:val="25"/>
      <w:szCs w:val="24"/>
      <w:lang w:val="en-US"/>
    </w:rPr>
  </w:style>
  <w:style w:type="character" w:customStyle="1" w:styleId="Heading6Char">
    <w:name w:val="Heading 6 Char"/>
    <w:basedOn w:val="DefaultParagraphFont"/>
    <w:link w:val="Heading6"/>
    <w:uiPriority w:val="9"/>
    <w:semiHidden/>
    <w:rsid w:val="002B6321"/>
    <w:rPr>
      <w:i/>
      <w:iCs/>
      <w:sz w:val="26"/>
      <w:szCs w:val="24"/>
      <w:lang w:val="en-US" w:eastAsia="ja-JP"/>
    </w:rPr>
  </w:style>
  <w:style w:type="character" w:customStyle="1" w:styleId="Heading7Char">
    <w:name w:val="Heading 7 Char"/>
    <w:basedOn w:val="DefaultParagraphFont"/>
    <w:link w:val="Heading7"/>
    <w:uiPriority w:val="9"/>
    <w:semiHidden/>
    <w:rsid w:val="002B6321"/>
    <w:rPr>
      <w:i/>
      <w:iCs/>
      <w:sz w:val="26"/>
      <w:szCs w:val="24"/>
      <w:lang w:val="en-US" w:eastAsia="ja-JP"/>
    </w:rPr>
  </w:style>
  <w:style w:type="character" w:customStyle="1" w:styleId="Heading8Char">
    <w:name w:val="Heading 8 Char"/>
    <w:basedOn w:val="DefaultParagraphFont"/>
    <w:link w:val="Heading8"/>
    <w:uiPriority w:val="9"/>
    <w:semiHidden/>
    <w:rsid w:val="002B6321"/>
    <w:rPr>
      <w:rFonts w:ascii="Cambria" w:hAnsi="Cambria"/>
      <w:color w:val="404040"/>
      <w:lang w:val="en-US" w:eastAsia="ja-JP"/>
    </w:rPr>
  </w:style>
  <w:style w:type="character" w:customStyle="1" w:styleId="Heading5Char">
    <w:name w:val="Heading 5 Char"/>
    <w:basedOn w:val="DefaultParagraphFont"/>
    <w:link w:val="Heading5"/>
    <w:uiPriority w:val="9"/>
    <w:rsid w:val="002B6321"/>
    <w:rPr>
      <w:rFonts w:ascii="Times New Roman" w:eastAsia="Times New Roman" w:hAnsi="Times New Roman" w:cs="Times New Roman"/>
      <w:color w:val="2F5496"/>
      <w:sz w:val="25"/>
      <w:szCs w:val="24"/>
      <w:lang w:val="en-US" w:eastAsia="en-US"/>
    </w:rPr>
  </w:style>
  <w:style w:type="character" w:customStyle="1" w:styleId="Heading1Char">
    <w:name w:val="Heading 1 Char"/>
    <w:aliases w:val="Heading 1A Char,Document Title Char,titMH Char,Heading 1 Char2 Char Char,Heading 1 Char Char2 Char Char, Char2 Char Char2 Char Char,Heading 1 Char Char Char1 Char Char,Heading 1 Char1 Char1 Char Char, Char2 Char Char Char1 Char Char"/>
    <w:basedOn w:val="DefaultParagraphFont"/>
    <w:link w:val="Heading1"/>
    <w:rsid w:val="002B6321"/>
    <w:rPr>
      <w:rFonts w:ascii=".VnTime" w:hAnsi=".VnTime"/>
      <w:sz w:val="28"/>
      <w:lang w:val="en-US" w:eastAsia="en-US"/>
    </w:rPr>
  </w:style>
  <w:style w:type="character" w:customStyle="1" w:styleId="Heading3Char">
    <w:name w:val="Heading 3 Char"/>
    <w:basedOn w:val="DefaultParagraphFont"/>
    <w:link w:val="Heading3"/>
    <w:rsid w:val="002B6321"/>
    <w:rPr>
      <w:rFonts w:ascii=".VnTime" w:hAnsi=".VnTime"/>
      <w:b/>
      <w:sz w:val="28"/>
      <w:lang w:val="en-AU" w:eastAsia="en-US"/>
    </w:rPr>
  </w:style>
  <w:style w:type="character" w:customStyle="1" w:styleId="BalloonTextChar">
    <w:name w:val="Balloon Text Char"/>
    <w:basedOn w:val="DefaultParagraphFont"/>
    <w:link w:val="BalloonText"/>
    <w:uiPriority w:val="99"/>
    <w:semiHidden/>
    <w:rsid w:val="002B6321"/>
    <w:rPr>
      <w:rFonts w:ascii="Tahoma" w:hAnsi="Tahoma" w:cs="Tahoma"/>
      <w:sz w:val="16"/>
      <w:szCs w:val="16"/>
      <w:lang w:val="en-AU" w:eastAsia="en-US"/>
    </w:rPr>
  </w:style>
  <w:style w:type="character" w:customStyle="1" w:styleId="NormalWebChar">
    <w:name w:val="Normal (Web) Char"/>
    <w:aliases w:val=" webb Char,webb Char"/>
    <w:link w:val="NormalWeb"/>
    <w:uiPriority w:val="99"/>
    <w:rsid w:val="002B6321"/>
    <w:rPr>
      <w:sz w:val="24"/>
      <w:szCs w:val="24"/>
      <w:lang w:val="en-US" w:eastAsia="en-US"/>
    </w:rPr>
  </w:style>
  <w:style w:type="paragraph" w:customStyle="1" w:styleId="-">
    <w:name w:val="-"/>
    <w:basedOn w:val="ListParagraph"/>
    <w:qFormat/>
    <w:rsid w:val="002B6321"/>
    <w:pPr>
      <w:widowControl w:val="0"/>
      <w:tabs>
        <w:tab w:val="num" w:pos="720"/>
      </w:tabs>
      <w:autoSpaceDE w:val="0"/>
      <w:autoSpaceDN w:val="0"/>
      <w:adjustRightInd w:val="0"/>
      <w:spacing w:before="120" w:after="120" w:line="312" w:lineRule="auto"/>
      <w:ind w:hanging="720"/>
      <w:jc w:val="both"/>
    </w:pPr>
    <w:rPr>
      <w:rFonts w:eastAsia="Times New Roman" w:cs="Cordia New"/>
      <w:b w:val="0"/>
      <w:noProof w:val="0"/>
      <w:sz w:val="25"/>
      <w:lang w:eastAsia="en-US" w:bidi="th-TH"/>
    </w:rPr>
  </w:style>
  <w:style w:type="paragraph" w:customStyle="1" w:styleId="a">
    <w:name w:val="+"/>
    <w:basedOn w:val="Normal"/>
    <w:qFormat/>
    <w:rsid w:val="002B6321"/>
    <w:pPr>
      <w:tabs>
        <w:tab w:val="num" w:pos="720"/>
      </w:tabs>
      <w:spacing w:before="120" w:after="120" w:line="312" w:lineRule="auto"/>
      <w:ind w:left="1077" w:hanging="357"/>
      <w:contextualSpacing/>
      <w:jc w:val="both"/>
    </w:pPr>
    <w:rPr>
      <w:sz w:val="25"/>
      <w:szCs w:val="26"/>
      <w:lang w:val="en-US" w:bidi="th-TH"/>
    </w:rPr>
  </w:style>
  <w:style w:type="paragraph" w:customStyle="1" w:styleId="Style4">
    <w:name w:val="Style4"/>
    <w:basedOn w:val="Normal"/>
    <w:qFormat/>
    <w:rsid w:val="002B6321"/>
    <w:pPr>
      <w:widowControl w:val="0"/>
      <w:tabs>
        <w:tab w:val="num" w:pos="360"/>
        <w:tab w:val="num" w:pos="720"/>
      </w:tabs>
      <w:autoSpaceDE w:val="0"/>
      <w:autoSpaceDN w:val="0"/>
      <w:adjustRightInd w:val="0"/>
      <w:spacing w:before="60" w:after="60" w:line="312" w:lineRule="auto"/>
      <w:ind w:left="714" w:hanging="357"/>
      <w:jc w:val="both"/>
    </w:pPr>
    <w:rPr>
      <w:rFonts w:ascii="Arial" w:hAnsi="Arial"/>
      <w:b/>
      <w:bCs/>
      <w:sz w:val="22"/>
      <w:szCs w:val="26"/>
      <w:lang w:val="en-US" w:bidi="th-TH"/>
    </w:rPr>
  </w:style>
  <w:style w:type="paragraph" w:customStyle="1" w:styleId="TableNormal1">
    <w:name w:val="Table Normal1"/>
    <w:basedOn w:val="Normal"/>
    <w:qFormat/>
    <w:rsid w:val="002B6321"/>
    <w:pPr>
      <w:widowControl w:val="0"/>
      <w:autoSpaceDE w:val="0"/>
      <w:autoSpaceDN w:val="0"/>
      <w:adjustRightInd w:val="0"/>
      <w:spacing w:before="60" w:after="60" w:line="312" w:lineRule="auto"/>
      <w:jc w:val="both"/>
    </w:pPr>
    <w:rPr>
      <w:rFonts w:cs="Arial"/>
      <w:sz w:val="22"/>
      <w:lang w:val="en-US" w:bidi="th-TH"/>
    </w:rPr>
  </w:style>
  <w:style w:type="paragraph" w:customStyle="1" w:styleId="1">
    <w:name w:val="1."/>
    <w:basedOn w:val="Normal"/>
    <w:qFormat/>
    <w:rsid w:val="002B6321"/>
    <w:pPr>
      <w:tabs>
        <w:tab w:val="left" w:pos="547"/>
      </w:tabs>
      <w:overflowPunct w:val="0"/>
      <w:autoSpaceDE w:val="0"/>
      <w:autoSpaceDN w:val="0"/>
      <w:adjustRightInd w:val="0"/>
      <w:spacing w:before="240" w:line="240" w:lineRule="atLeast"/>
      <w:ind w:left="3969" w:hanging="3969"/>
    </w:pPr>
    <w:rPr>
      <w:rFonts w:ascii="Arial" w:eastAsia="平成明朝" w:hAnsi="Arial"/>
      <w:color w:val="000000"/>
      <w:lang w:val="en-US" w:eastAsia="ja-JP"/>
    </w:rPr>
  </w:style>
  <w:style w:type="paragraph" w:customStyle="1" w:styleId="TableNormal2">
    <w:name w:val="Table Normal2"/>
    <w:basedOn w:val="Normal"/>
    <w:qFormat/>
    <w:rsid w:val="002B6321"/>
    <w:pPr>
      <w:spacing w:before="60" w:after="60"/>
      <w:jc w:val="both"/>
    </w:pPr>
    <w:rPr>
      <w:rFonts w:eastAsia="Calibri"/>
      <w:bCs/>
      <w:sz w:val="24"/>
      <w:szCs w:val="24"/>
      <w:lang w:val="vi-VN"/>
    </w:rPr>
  </w:style>
  <w:style w:type="character" w:customStyle="1" w:styleId="jlqj4b">
    <w:name w:val="jlqj4b"/>
    <w:basedOn w:val="DefaultParagraphFont"/>
    <w:rsid w:val="002B6321"/>
  </w:style>
  <w:style w:type="character" w:styleId="Strong">
    <w:name w:val="Strong"/>
    <w:basedOn w:val="DefaultParagraphFont"/>
    <w:uiPriority w:val="22"/>
    <w:qFormat/>
    <w:rsid w:val="002B6321"/>
    <w:rPr>
      <w:b/>
      <w:bCs/>
    </w:rPr>
  </w:style>
  <w:style w:type="paragraph" w:customStyle="1" w:styleId="TOCHeading1">
    <w:name w:val="TOC Heading1"/>
    <w:basedOn w:val="Heading1"/>
    <w:next w:val="Normal"/>
    <w:uiPriority w:val="39"/>
    <w:unhideWhenUsed/>
    <w:qFormat/>
    <w:rsid w:val="002B6321"/>
    <w:pPr>
      <w:keepLines/>
      <w:spacing w:before="240" w:line="259" w:lineRule="auto"/>
      <w:outlineLvl w:val="9"/>
    </w:pPr>
    <w:rPr>
      <w:rFonts w:ascii="Times New Roman" w:hAnsi="Times New Roman"/>
      <w:color w:val="2F5496"/>
      <w:sz w:val="32"/>
      <w:szCs w:val="32"/>
    </w:rPr>
  </w:style>
  <w:style w:type="paragraph" w:styleId="TOC1">
    <w:name w:val="toc 1"/>
    <w:basedOn w:val="Normal"/>
    <w:next w:val="Normal"/>
    <w:autoRedefine/>
    <w:uiPriority w:val="39"/>
    <w:unhideWhenUsed/>
    <w:rsid w:val="002B6321"/>
    <w:pPr>
      <w:spacing w:before="120" w:after="100" w:line="312" w:lineRule="auto"/>
      <w:jc w:val="both"/>
    </w:pPr>
    <w:rPr>
      <w:rFonts w:eastAsia="SimSun"/>
      <w:caps/>
      <w:sz w:val="25"/>
      <w:szCs w:val="24"/>
      <w:lang w:val="en-US"/>
    </w:rPr>
  </w:style>
  <w:style w:type="paragraph" w:styleId="TOC3">
    <w:name w:val="toc 3"/>
    <w:basedOn w:val="Normal"/>
    <w:next w:val="Normal"/>
    <w:autoRedefine/>
    <w:uiPriority w:val="39"/>
    <w:unhideWhenUsed/>
    <w:rsid w:val="002B6321"/>
    <w:pPr>
      <w:spacing w:before="120" w:after="100" w:line="312" w:lineRule="auto"/>
      <w:ind w:left="500"/>
      <w:jc w:val="both"/>
    </w:pPr>
    <w:rPr>
      <w:rFonts w:eastAsia="SimSun"/>
      <w:sz w:val="25"/>
      <w:szCs w:val="24"/>
      <w:lang w:val="en-US"/>
    </w:rPr>
  </w:style>
  <w:style w:type="character" w:customStyle="1" w:styleId="StyleBChar">
    <w:name w:val="StyleB Char"/>
    <w:link w:val="StyleB"/>
    <w:locked/>
    <w:rsid w:val="002B6321"/>
    <w:rPr>
      <w:sz w:val="26"/>
      <w:szCs w:val="26"/>
      <w:lang w:val="vi-VN" w:eastAsia="vi-VN"/>
    </w:rPr>
  </w:style>
  <w:style w:type="paragraph" w:customStyle="1" w:styleId="StyleB">
    <w:name w:val="StyleB"/>
    <w:basedOn w:val="Normal"/>
    <w:link w:val="StyleBChar"/>
    <w:qFormat/>
    <w:rsid w:val="002B6321"/>
    <w:pPr>
      <w:tabs>
        <w:tab w:val="num" w:pos="720"/>
      </w:tabs>
      <w:spacing w:before="60" w:after="60" w:line="288" w:lineRule="auto"/>
      <w:ind w:left="720" w:hanging="720"/>
      <w:jc w:val="both"/>
    </w:pPr>
    <w:rPr>
      <w:sz w:val="26"/>
      <w:szCs w:val="26"/>
      <w:lang w:val="vi-VN" w:eastAsia="vi-VN"/>
    </w:rPr>
  </w:style>
  <w:style w:type="character" w:customStyle="1" w:styleId="TitleChar">
    <w:name w:val="Title Char"/>
    <w:basedOn w:val="DefaultParagraphFont"/>
    <w:link w:val="Title"/>
    <w:rsid w:val="002B6321"/>
    <w:rPr>
      <w:rFonts w:ascii=".VnArialH" w:hAnsi=".VnArialH"/>
      <w:b/>
      <w:sz w:val="28"/>
      <w:lang w:val="en-US" w:eastAsia="en-US"/>
    </w:rPr>
  </w:style>
  <w:style w:type="character" w:customStyle="1" w:styleId="Vnbnnidung2">
    <w:name w:val="Văn bản nội dung (2)_"/>
    <w:link w:val="Vnbnnidung20"/>
    <w:rsid w:val="002B6321"/>
    <w:rPr>
      <w:sz w:val="26"/>
      <w:szCs w:val="26"/>
      <w:shd w:val="clear" w:color="auto" w:fill="FFFFFF"/>
    </w:rPr>
  </w:style>
  <w:style w:type="paragraph" w:customStyle="1" w:styleId="Vnbnnidung20">
    <w:name w:val="Văn bản nội dung (2)"/>
    <w:basedOn w:val="Normal"/>
    <w:link w:val="Vnbnnidung2"/>
    <w:rsid w:val="002B6321"/>
    <w:pPr>
      <w:widowControl w:val="0"/>
      <w:shd w:val="clear" w:color="auto" w:fill="FFFFFF"/>
      <w:spacing w:before="60" w:line="443" w:lineRule="exact"/>
      <w:ind w:hanging="280"/>
      <w:jc w:val="both"/>
    </w:pPr>
    <w:rPr>
      <w:sz w:val="26"/>
      <w:szCs w:val="26"/>
      <w:lang w:val="vi-VN" w:eastAsia="vi-VN"/>
    </w:rPr>
  </w:style>
  <w:style w:type="paragraph" w:customStyle="1" w:styleId="11MC">
    <w:name w:val="1.1 MỤC"/>
    <w:basedOn w:val="Heading3"/>
    <w:link w:val="11MCChar"/>
    <w:qFormat/>
    <w:rsid w:val="002B6321"/>
    <w:pPr>
      <w:keepLines/>
      <w:spacing w:before="120"/>
      <w:ind w:left="0" w:firstLine="0"/>
      <w:jc w:val="both"/>
    </w:pPr>
    <w:rPr>
      <w:color w:val="1F3763"/>
      <w:szCs w:val="28"/>
      <w:lang w:val="en-US" w:eastAsia="ja-JP"/>
    </w:rPr>
  </w:style>
  <w:style w:type="character" w:customStyle="1" w:styleId="11MCChar">
    <w:name w:val="1.1 MỤC Char"/>
    <w:basedOn w:val="Heading3Char"/>
    <w:link w:val="11MC"/>
    <w:rsid w:val="002B6321"/>
    <w:rPr>
      <w:rFonts w:ascii=".VnTime" w:hAnsi=".VnTime"/>
      <w:b/>
      <w:color w:val="1F3763"/>
      <w:sz w:val="28"/>
      <w:szCs w:val="28"/>
      <w:lang w:val="en-US" w:eastAsia="ja-JP"/>
    </w:rPr>
  </w:style>
  <w:style w:type="paragraph" w:customStyle="1" w:styleId="bodytext20">
    <w:name w:val="bodytext20"/>
    <w:basedOn w:val="Normal"/>
    <w:rsid w:val="002B6321"/>
    <w:pPr>
      <w:spacing w:before="100" w:beforeAutospacing="1" w:after="100" w:afterAutospacing="1"/>
    </w:pPr>
    <w:rPr>
      <w:sz w:val="24"/>
      <w:szCs w:val="24"/>
      <w:lang w:val="en-US"/>
    </w:rPr>
  </w:style>
  <w:style w:type="character" w:customStyle="1" w:styleId="bodytext2">
    <w:name w:val="bodytext2"/>
    <w:basedOn w:val="DefaultParagraphFont"/>
    <w:rsid w:val="002B6321"/>
  </w:style>
  <w:style w:type="character" w:styleId="HTMLCite">
    <w:name w:val="HTML Cite"/>
    <w:basedOn w:val="DefaultParagraphFont"/>
    <w:uiPriority w:val="99"/>
    <w:unhideWhenUsed/>
    <w:rsid w:val="002B6321"/>
    <w:rPr>
      <w:i/>
      <w:iCs/>
    </w:rPr>
  </w:style>
  <w:style w:type="character" w:customStyle="1" w:styleId="dyjrff">
    <w:name w:val="dyjrff"/>
    <w:basedOn w:val="DefaultParagraphFont"/>
    <w:rsid w:val="002B6321"/>
  </w:style>
  <w:style w:type="character" w:customStyle="1" w:styleId="quantumwizbuttonpaperbuttonlabel">
    <w:name w:val="quantumwizbuttonpaperbuttonlabel"/>
    <w:basedOn w:val="DefaultParagraphFont"/>
    <w:rsid w:val="002B6321"/>
  </w:style>
  <w:style w:type="paragraph" w:customStyle="1" w:styleId="TOC21">
    <w:name w:val="TOC 21"/>
    <w:basedOn w:val="Normal"/>
    <w:next w:val="Normal"/>
    <w:autoRedefine/>
    <w:uiPriority w:val="39"/>
    <w:unhideWhenUsed/>
    <w:rsid w:val="002B6321"/>
    <w:pPr>
      <w:spacing w:after="100" w:line="259" w:lineRule="auto"/>
      <w:ind w:left="220"/>
    </w:pPr>
    <w:rPr>
      <w:rFonts w:ascii="Arial" w:eastAsia="Arial" w:hAnsi="Arial"/>
      <w:sz w:val="22"/>
      <w:szCs w:val="22"/>
      <w:lang w:val="en-US"/>
    </w:rPr>
  </w:style>
  <w:style w:type="paragraph" w:customStyle="1" w:styleId="soTCVN-T">
    <w:name w:val="soTCVN-T"/>
    <w:basedOn w:val="Normal"/>
    <w:rsid w:val="002B6321"/>
    <w:pPr>
      <w:spacing w:before="2400"/>
      <w:jc w:val="center"/>
    </w:pPr>
    <w:rPr>
      <w:rFonts w:ascii=".VnArialH" w:hAnsi=".VnArialH"/>
      <w:b/>
      <w:sz w:val="36"/>
      <w:lang w:val="en-US"/>
    </w:rPr>
  </w:style>
  <w:style w:type="paragraph" w:customStyle="1" w:styleId="Ocr14j">
    <w:name w:val="Ocr14j"/>
    <w:basedOn w:val="Normal"/>
    <w:rsid w:val="002B6321"/>
    <w:pPr>
      <w:autoSpaceDE w:val="0"/>
      <w:autoSpaceDN w:val="0"/>
      <w:adjustRightInd w:val="0"/>
      <w:jc w:val="both"/>
    </w:pPr>
    <w:rPr>
      <w:sz w:val="28"/>
      <w:szCs w:val="28"/>
      <w:lang w:val="en-US"/>
    </w:rPr>
  </w:style>
  <w:style w:type="paragraph" w:styleId="BodyText21">
    <w:name w:val="Body Text 2"/>
    <w:basedOn w:val="Normal"/>
    <w:link w:val="BodyText2Char"/>
    <w:rsid w:val="002B6321"/>
    <w:pPr>
      <w:spacing w:before="120" w:line="400" w:lineRule="exact"/>
      <w:jc w:val="both"/>
    </w:pPr>
    <w:rPr>
      <w:rFonts w:ascii=".VnTime" w:hAnsi=".VnTime"/>
      <w:sz w:val="28"/>
      <w:lang w:val="en-US"/>
    </w:rPr>
  </w:style>
  <w:style w:type="character" w:customStyle="1" w:styleId="BodyText2Char">
    <w:name w:val="Body Text 2 Char"/>
    <w:basedOn w:val="DefaultParagraphFont"/>
    <w:link w:val="BodyText21"/>
    <w:rsid w:val="002B6321"/>
    <w:rPr>
      <w:rFonts w:ascii=".VnTime" w:hAnsi=".VnTime"/>
      <w:sz w:val="28"/>
      <w:lang w:val="en-US" w:eastAsia="en-US"/>
    </w:rPr>
  </w:style>
  <w:style w:type="paragraph" w:customStyle="1" w:styleId="CharChar2Char">
    <w:name w:val="Char Char2 Char"/>
    <w:basedOn w:val="Normal"/>
    <w:semiHidden/>
    <w:rsid w:val="002B6321"/>
    <w:pPr>
      <w:spacing w:after="160" w:line="240" w:lineRule="exact"/>
    </w:pPr>
    <w:rPr>
      <w:rFonts w:ascii="Arial" w:hAnsi="Arial"/>
      <w:sz w:val="22"/>
      <w:szCs w:val="22"/>
      <w:lang w:val="en-US"/>
    </w:rPr>
  </w:style>
  <w:style w:type="paragraph" w:customStyle="1" w:styleId="vao-v">
    <w:name w:val="vao-v"/>
    <w:basedOn w:val="Normal"/>
    <w:rsid w:val="002B6321"/>
    <w:pPr>
      <w:tabs>
        <w:tab w:val="num" w:pos="720"/>
      </w:tabs>
      <w:spacing w:before="120" w:line="360" w:lineRule="auto"/>
      <w:ind w:left="720" w:hanging="720"/>
      <w:jc w:val="both"/>
    </w:pPr>
    <w:rPr>
      <w:rFonts w:ascii=".VnArial" w:hAnsi=".VnArial"/>
      <w:spacing w:val="5"/>
      <w:sz w:val="22"/>
      <w:lang w:val="en-US"/>
    </w:rPr>
  </w:style>
  <w:style w:type="paragraph" w:customStyle="1" w:styleId="newstitle">
    <w:name w:val="news_title"/>
    <w:basedOn w:val="Normal"/>
    <w:rsid w:val="002B6321"/>
    <w:pPr>
      <w:spacing w:before="100" w:beforeAutospacing="1" w:after="100" w:afterAutospacing="1"/>
    </w:pPr>
    <w:rPr>
      <w:sz w:val="24"/>
      <w:szCs w:val="24"/>
      <w:lang w:val="en-US"/>
    </w:rPr>
  </w:style>
  <w:style w:type="paragraph" w:styleId="EnvelopeReturn">
    <w:name w:val="envelope return"/>
    <w:basedOn w:val="Normal"/>
    <w:rsid w:val="002B6321"/>
    <w:rPr>
      <w:rFonts w:ascii=".VnArial" w:hAnsi=".VnArial"/>
      <w:sz w:val="24"/>
      <w:lang w:val="en-US"/>
    </w:rPr>
  </w:style>
  <w:style w:type="character" w:customStyle="1" w:styleId="hps">
    <w:name w:val="hps"/>
    <w:basedOn w:val="DefaultParagraphFont"/>
    <w:rsid w:val="002B6321"/>
  </w:style>
  <w:style w:type="paragraph" w:customStyle="1" w:styleId="Char">
    <w:name w:val="Char"/>
    <w:basedOn w:val="Normal"/>
    <w:autoRedefine/>
    <w:rsid w:val="002B6321"/>
    <w:pPr>
      <w:autoSpaceDE w:val="0"/>
      <w:autoSpaceDN w:val="0"/>
      <w:adjustRightInd w:val="0"/>
      <w:spacing w:before="120" w:after="160" w:line="240" w:lineRule="exact"/>
    </w:pPr>
    <w:rPr>
      <w:rFonts w:ascii="Arial" w:hAnsi="Arial" w:cs="Arial"/>
      <w:sz w:val="24"/>
      <w:szCs w:val="24"/>
      <w:lang w:val="en-US"/>
    </w:rPr>
  </w:style>
  <w:style w:type="paragraph" w:customStyle="1" w:styleId="DefaultParagraphFontParaCharCharCharCharChar">
    <w:name w:val="Default Paragraph Font Para Char Char Char Char Char"/>
    <w:autoRedefine/>
    <w:rsid w:val="002B6321"/>
    <w:pPr>
      <w:tabs>
        <w:tab w:val="left" w:pos="1152"/>
      </w:tabs>
      <w:spacing w:before="120" w:after="120" w:line="312" w:lineRule="auto"/>
    </w:pPr>
    <w:rPr>
      <w:rFonts w:ascii="Arial" w:hAnsi="Arial" w:cs="Arial"/>
      <w:sz w:val="26"/>
      <w:szCs w:val="26"/>
      <w:lang w:val="en-US"/>
    </w:rPr>
  </w:style>
  <w:style w:type="paragraph" w:customStyle="1" w:styleId="Default">
    <w:name w:val="Default"/>
    <w:rsid w:val="002B6321"/>
    <w:pPr>
      <w:autoSpaceDE w:val="0"/>
      <w:autoSpaceDN w:val="0"/>
      <w:adjustRightInd w:val="0"/>
    </w:pPr>
    <w:rPr>
      <w:color w:val="000000"/>
      <w:sz w:val="24"/>
      <w:szCs w:val="24"/>
      <w:lang w:val="en-US"/>
    </w:rPr>
  </w:style>
  <w:style w:type="character" w:customStyle="1" w:styleId="fontstyle01">
    <w:name w:val="fontstyle01"/>
    <w:basedOn w:val="DefaultParagraphFont"/>
    <w:rsid w:val="002B6321"/>
    <w:rPr>
      <w:rFonts w:ascii="Arial" w:hAnsi="Arial" w:cs="Arial" w:hint="default"/>
      <w:b/>
      <w:bCs/>
      <w:i w:val="0"/>
      <w:iCs w:val="0"/>
      <w:color w:val="000000"/>
      <w:sz w:val="24"/>
      <w:szCs w:val="24"/>
    </w:rPr>
  </w:style>
  <w:style w:type="character" w:customStyle="1" w:styleId="fontstyle21">
    <w:name w:val="fontstyle21"/>
    <w:basedOn w:val="DefaultParagraphFont"/>
    <w:rsid w:val="002B6321"/>
    <w:rPr>
      <w:rFonts w:ascii="Arial" w:hAnsi="Arial" w:cs="Arial" w:hint="default"/>
      <w:b w:val="0"/>
      <w:bCs w:val="0"/>
      <w:i w:val="0"/>
      <w:iCs w:val="0"/>
      <w:color w:val="000000"/>
      <w:sz w:val="24"/>
      <w:szCs w:val="24"/>
    </w:rPr>
  </w:style>
  <w:style w:type="paragraph" w:customStyle="1" w:styleId="TableParagraph">
    <w:name w:val="Table Paragraph"/>
    <w:basedOn w:val="Normal"/>
    <w:uiPriority w:val="1"/>
    <w:qFormat/>
    <w:rsid w:val="002B6321"/>
    <w:pPr>
      <w:widowControl w:val="0"/>
      <w:autoSpaceDE w:val="0"/>
      <w:autoSpaceDN w:val="0"/>
      <w:ind w:left="107"/>
    </w:pPr>
    <w:rPr>
      <w:rFonts w:ascii="Arial" w:eastAsia="Arial" w:hAnsi="Arial" w:cs="Arial"/>
      <w:sz w:val="22"/>
      <w:szCs w:val="22"/>
      <w:lang w:val="en-US"/>
    </w:rPr>
  </w:style>
  <w:style w:type="paragraph" w:customStyle="1" w:styleId="msonormal0">
    <w:name w:val="msonormal"/>
    <w:basedOn w:val="Normal"/>
    <w:rsid w:val="002B6321"/>
    <w:pPr>
      <w:spacing w:before="100" w:beforeAutospacing="1" w:after="100" w:afterAutospacing="1"/>
    </w:pPr>
    <w:rPr>
      <w:sz w:val="24"/>
      <w:szCs w:val="24"/>
      <w:lang w:val="en-US"/>
    </w:rPr>
  </w:style>
  <w:style w:type="character" w:customStyle="1" w:styleId="number">
    <w:name w:val="number"/>
    <w:basedOn w:val="DefaultParagraphFont"/>
    <w:rsid w:val="002B6321"/>
  </w:style>
  <w:style w:type="character" w:customStyle="1" w:styleId="lxp-quotation">
    <w:name w:val="lxp-quotation"/>
    <w:basedOn w:val="DefaultParagraphFont"/>
    <w:rsid w:val="002B6321"/>
  </w:style>
  <w:style w:type="paragraph" w:customStyle="1" w:styleId="footnote">
    <w:name w:val="footnote"/>
    <w:basedOn w:val="Normal"/>
    <w:rsid w:val="002B6321"/>
    <w:pPr>
      <w:spacing w:before="100" w:beforeAutospacing="1" w:after="100" w:afterAutospacing="1"/>
    </w:pPr>
    <w:rPr>
      <w:sz w:val="24"/>
      <w:szCs w:val="24"/>
      <w:lang w:val="en-US"/>
    </w:rPr>
  </w:style>
  <w:style w:type="paragraph" w:customStyle="1" w:styleId="post-meta">
    <w:name w:val="post-meta"/>
    <w:basedOn w:val="Normal"/>
    <w:rsid w:val="002B6321"/>
    <w:pPr>
      <w:spacing w:before="100" w:beforeAutospacing="1" w:after="100" w:afterAutospacing="1"/>
    </w:pPr>
    <w:rPr>
      <w:sz w:val="24"/>
      <w:szCs w:val="24"/>
      <w:lang w:val="en-US"/>
    </w:rPr>
  </w:style>
  <w:style w:type="character" w:customStyle="1" w:styleId="post-meta-author">
    <w:name w:val="post-meta-author"/>
    <w:basedOn w:val="DefaultParagraphFont"/>
    <w:rsid w:val="002B6321"/>
  </w:style>
  <w:style w:type="character" w:customStyle="1" w:styleId="tie-date">
    <w:name w:val="tie-date"/>
    <w:basedOn w:val="DefaultParagraphFont"/>
    <w:rsid w:val="002B6321"/>
  </w:style>
  <w:style w:type="character" w:customStyle="1" w:styleId="post-cats">
    <w:name w:val="post-cats"/>
    <w:basedOn w:val="DefaultParagraphFont"/>
    <w:rsid w:val="002B6321"/>
  </w:style>
  <w:style w:type="character" w:customStyle="1" w:styleId="post-comments">
    <w:name w:val="post-comments"/>
    <w:basedOn w:val="DefaultParagraphFont"/>
    <w:rsid w:val="002B6321"/>
  </w:style>
  <w:style w:type="character" w:customStyle="1" w:styleId="post-views">
    <w:name w:val="post-views"/>
    <w:basedOn w:val="DefaultParagraphFont"/>
    <w:rsid w:val="002B6321"/>
  </w:style>
  <w:style w:type="paragraph" w:styleId="NoSpacing">
    <w:name w:val="No Spacing"/>
    <w:uiPriority w:val="1"/>
    <w:qFormat/>
    <w:rsid w:val="002B6321"/>
    <w:rPr>
      <w:rFonts w:ascii="Arial" w:eastAsia="Calibri" w:hAnsi="Arial" w:cs="Arial"/>
      <w:sz w:val="24"/>
      <w:szCs w:val="24"/>
      <w:lang w:val="en-GB"/>
    </w:rPr>
  </w:style>
  <w:style w:type="numbering" w:customStyle="1" w:styleId="NoList1">
    <w:name w:val="No List1"/>
    <w:next w:val="NoList"/>
    <w:uiPriority w:val="99"/>
    <w:semiHidden/>
    <w:unhideWhenUsed/>
    <w:rsid w:val="002B6321"/>
  </w:style>
  <w:style w:type="character" w:customStyle="1" w:styleId="mw-headline">
    <w:name w:val="mw-headline"/>
    <w:basedOn w:val="DefaultParagraphFont"/>
    <w:rsid w:val="002B6321"/>
  </w:style>
  <w:style w:type="character" w:customStyle="1" w:styleId="st">
    <w:name w:val="st"/>
    <w:basedOn w:val="DefaultParagraphFont"/>
    <w:rsid w:val="002B6321"/>
  </w:style>
  <w:style w:type="character" w:customStyle="1" w:styleId="hpsatn">
    <w:name w:val="hps atn"/>
    <w:basedOn w:val="DefaultParagraphFont"/>
    <w:rsid w:val="002B6321"/>
  </w:style>
  <w:style w:type="table" w:customStyle="1" w:styleId="TableGrid1">
    <w:name w:val="Table Grid1"/>
    <w:basedOn w:val="TableNormal"/>
    <w:next w:val="TableGrid"/>
    <w:uiPriority w:val="59"/>
    <w:rsid w:val="002B6321"/>
    <w:rPr>
      <w:rFonts w:ascii="Calibri" w:eastAsia="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qFormat/>
    <w:rsid w:val="002B6321"/>
    <w:pPr>
      <w:tabs>
        <w:tab w:val="left" w:pos="1253"/>
      </w:tabs>
      <w:spacing w:after="120"/>
      <w:jc w:val="both"/>
    </w:pPr>
    <w:rPr>
      <w:rFonts w:ascii="Calibri" w:hAnsi="Calibri"/>
      <w:b/>
      <w:bCs/>
      <w:lang w:val="en-US" w:eastAsia="en-GB"/>
    </w:rPr>
  </w:style>
  <w:style w:type="character" w:customStyle="1" w:styleId="CaptionChar">
    <w:name w:val="Caption Char"/>
    <w:link w:val="Caption"/>
    <w:rsid w:val="002B6321"/>
    <w:rPr>
      <w:rFonts w:ascii="Calibri" w:hAnsi="Calibri"/>
      <w:b/>
      <w:bCs/>
      <w:lang w:val="en-US" w:eastAsia="en-GB"/>
    </w:rPr>
  </w:style>
  <w:style w:type="paragraph" w:customStyle="1" w:styleId="Body">
    <w:name w:val="Body"/>
    <w:rsid w:val="002B6321"/>
    <w:pPr>
      <w:suppressAutoHyphens/>
      <w:spacing w:after="180" w:line="312" w:lineRule="auto"/>
    </w:pPr>
    <w:rPr>
      <w:rFonts w:ascii="Lucida Grande" w:eastAsia="Lucida Grande" w:hAnsi="Lucida Grande"/>
      <w:color w:val="000000"/>
      <w:sz w:val="18"/>
      <w:lang w:val="en-US" w:eastAsia="ar-SA"/>
    </w:rPr>
  </w:style>
  <w:style w:type="paragraph" w:customStyle="1" w:styleId="ariel">
    <w:name w:val="ariel"/>
    <w:basedOn w:val="Normal"/>
    <w:rsid w:val="002B6321"/>
    <w:pPr>
      <w:suppressAutoHyphens/>
      <w:spacing w:line="312" w:lineRule="auto"/>
    </w:pPr>
    <w:rPr>
      <w:rFonts w:ascii="Lucida Grande" w:eastAsia="Lucida Grande" w:hAnsi="Lucida Grande"/>
      <w:color w:val="000000"/>
      <w:lang w:val="en-US" w:eastAsia="ar-SA"/>
    </w:rPr>
  </w:style>
  <w:style w:type="character" w:styleId="SubtleEmphasis">
    <w:name w:val="Subtle Emphasis"/>
    <w:uiPriority w:val="19"/>
    <w:qFormat/>
    <w:rsid w:val="002B6321"/>
    <w:rPr>
      <w:i/>
      <w:iCs/>
      <w:color w:val="404040"/>
    </w:rPr>
  </w:style>
  <w:style w:type="character" w:customStyle="1" w:styleId="normal-h">
    <w:name w:val="normal-h"/>
    <w:rsid w:val="002B6321"/>
    <w:rPr>
      <w:rFonts w:cs="Times New Roman"/>
    </w:rPr>
  </w:style>
  <w:style w:type="character" w:customStyle="1" w:styleId="articletitledetail">
    <w:name w:val="articletitledetail"/>
    <w:basedOn w:val="DefaultParagraphFont"/>
    <w:rsid w:val="002B6321"/>
  </w:style>
  <w:style w:type="paragraph" w:customStyle="1" w:styleId="normal-p">
    <w:name w:val="normal-p"/>
    <w:basedOn w:val="Normal"/>
    <w:rsid w:val="002B6321"/>
    <w:pPr>
      <w:spacing w:before="100" w:beforeAutospacing="1" w:after="100" w:afterAutospacing="1"/>
    </w:pPr>
    <w:rPr>
      <w:rFonts w:ascii="Arial" w:hAnsi="Arial"/>
      <w:sz w:val="24"/>
      <w:szCs w:val="24"/>
      <w:lang w:val="en-US"/>
    </w:rPr>
  </w:style>
  <w:style w:type="character" w:customStyle="1" w:styleId="UnresolvedMention1">
    <w:name w:val="Unresolved Mention1"/>
    <w:uiPriority w:val="99"/>
    <w:semiHidden/>
    <w:unhideWhenUsed/>
    <w:rsid w:val="002B6321"/>
    <w:rPr>
      <w:color w:val="605E5C"/>
      <w:shd w:val="clear" w:color="auto" w:fill="E1DFDD"/>
    </w:rPr>
  </w:style>
  <w:style w:type="paragraph" w:customStyle="1" w:styleId="clear">
    <w:name w:val="clear"/>
    <w:basedOn w:val="Normal"/>
    <w:rsid w:val="002B6321"/>
    <w:pPr>
      <w:spacing w:before="100" w:beforeAutospacing="1" w:after="100" w:afterAutospacing="1"/>
    </w:pPr>
    <w:rPr>
      <w:sz w:val="24"/>
      <w:szCs w:val="24"/>
      <w:lang w:val="en-US"/>
    </w:rPr>
  </w:style>
  <w:style w:type="paragraph" w:styleId="TOC4">
    <w:name w:val="toc 4"/>
    <w:basedOn w:val="Normal"/>
    <w:next w:val="Normal"/>
    <w:autoRedefine/>
    <w:uiPriority w:val="39"/>
    <w:unhideWhenUsed/>
    <w:rsid w:val="002B6321"/>
    <w:pPr>
      <w:ind w:left="720"/>
    </w:pPr>
    <w:rPr>
      <w:rFonts w:ascii="Calibri" w:hAnsi="Calibri" w:cs="Calibri"/>
      <w:lang w:val="en-US"/>
    </w:rPr>
  </w:style>
  <w:style w:type="paragraph" w:styleId="TOC5">
    <w:name w:val="toc 5"/>
    <w:basedOn w:val="Normal"/>
    <w:next w:val="Normal"/>
    <w:autoRedefine/>
    <w:uiPriority w:val="39"/>
    <w:unhideWhenUsed/>
    <w:rsid w:val="002B6321"/>
    <w:pPr>
      <w:ind w:left="960"/>
    </w:pPr>
    <w:rPr>
      <w:rFonts w:ascii="Calibri" w:hAnsi="Calibri" w:cs="Calibri"/>
      <w:lang w:val="en-US"/>
    </w:rPr>
  </w:style>
  <w:style w:type="paragraph" w:styleId="TOC6">
    <w:name w:val="toc 6"/>
    <w:basedOn w:val="Normal"/>
    <w:next w:val="Normal"/>
    <w:autoRedefine/>
    <w:uiPriority w:val="39"/>
    <w:unhideWhenUsed/>
    <w:rsid w:val="002B6321"/>
    <w:pPr>
      <w:ind w:left="1200"/>
    </w:pPr>
    <w:rPr>
      <w:rFonts w:ascii="Calibri" w:hAnsi="Calibri" w:cs="Calibri"/>
      <w:lang w:val="en-US"/>
    </w:rPr>
  </w:style>
  <w:style w:type="paragraph" w:styleId="TOC7">
    <w:name w:val="toc 7"/>
    <w:basedOn w:val="Normal"/>
    <w:next w:val="Normal"/>
    <w:autoRedefine/>
    <w:uiPriority w:val="39"/>
    <w:unhideWhenUsed/>
    <w:rsid w:val="002B6321"/>
    <w:pPr>
      <w:ind w:left="1440"/>
    </w:pPr>
    <w:rPr>
      <w:rFonts w:ascii="Calibri" w:hAnsi="Calibri" w:cs="Calibri"/>
      <w:lang w:val="en-US"/>
    </w:rPr>
  </w:style>
  <w:style w:type="paragraph" w:styleId="TOC8">
    <w:name w:val="toc 8"/>
    <w:basedOn w:val="Normal"/>
    <w:next w:val="Normal"/>
    <w:autoRedefine/>
    <w:uiPriority w:val="39"/>
    <w:unhideWhenUsed/>
    <w:rsid w:val="002B6321"/>
    <w:pPr>
      <w:ind w:left="1680"/>
    </w:pPr>
    <w:rPr>
      <w:rFonts w:ascii="Calibri" w:hAnsi="Calibri" w:cs="Calibri"/>
      <w:lang w:val="en-US"/>
    </w:rPr>
  </w:style>
  <w:style w:type="paragraph" w:styleId="TOC9">
    <w:name w:val="toc 9"/>
    <w:basedOn w:val="Normal"/>
    <w:next w:val="Normal"/>
    <w:autoRedefine/>
    <w:uiPriority w:val="39"/>
    <w:unhideWhenUsed/>
    <w:rsid w:val="002B6321"/>
    <w:pPr>
      <w:ind w:left="1920"/>
    </w:pPr>
    <w:rPr>
      <w:rFonts w:ascii="Calibri" w:hAnsi="Calibri" w:cs="Calibri"/>
      <w:lang w:val="en-US"/>
    </w:rPr>
  </w:style>
  <w:style w:type="character" w:styleId="FollowedHyperlink">
    <w:name w:val="FollowedHyperlink"/>
    <w:uiPriority w:val="99"/>
    <w:unhideWhenUsed/>
    <w:rsid w:val="002B6321"/>
    <w:rPr>
      <w:color w:val="954F72"/>
      <w:u w:val="single"/>
    </w:rPr>
  </w:style>
  <w:style w:type="paragraph" w:customStyle="1" w:styleId="Bullet-">
    <w:name w:val="Bullet -"/>
    <w:basedOn w:val="Normal"/>
    <w:next w:val="Normal"/>
    <w:link w:val="Bullet-CharChar"/>
    <w:qFormat/>
    <w:rsid w:val="002B6321"/>
    <w:pPr>
      <w:tabs>
        <w:tab w:val="num" w:pos="720"/>
        <w:tab w:val="left" w:pos="1985"/>
      </w:tabs>
      <w:spacing w:before="120"/>
      <w:ind w:left="720" w:hanging="720"/>
      <w:jc w:val="both"/>
    </w:pPr>
    <w:rPr>
      <w:sz w:val="26"/>
      <w:szCs w:val="26"/>
      <w:lang w:val="fr-FR"/>
    </w:rPr>
  </w:style>
  <w:style w:type="character" w:customStyle="1" w:styleId="Bullet-CharChar">
    <w:name w:val="Bullet - Char Char"/>
    <w:link w:val="Bullet-"/>
    <w:rsid w:val="002B6321"/>
    <w:rPr>
      <w:sz w:val="26"/>
      <w:szCs w:val="26"/>
      <w:lang w:val="fr-FR"/>
    </w:rPr>
  </w:style>
  <w:style w:type="paragraph" w:styleId="TableofFigures">
    <w:name w:val="table of figures"/>
    <w:basedOn w:val="Normal"/>
    <w:next w:val="Normal"/>
    <w:uiPriority w:val="99"/>
    <w:unhideWhenUsed/>
    <w:rsid w:val="002B6321"/>
    <w:rPr>
      <w:sz w:val="24"/>
      <w:szCs w:val="24"/>
      <w:lang w:val="en-US"/>
    </w:rPr>
  </w:style>
  <w:style w:type="paragraph" w:styleId="Revision">
    <w:name w:val="Revision"/>
    <w:hidden/>
    <w:uiPriority w:val="71"/>
    <w:rsid w:val="002B6321"/>
    <w:rPr>
      <w:sz w:val="24"/>
      <w:szCs w:val="24"/>
      <w:lang w:val="en-US"/>
    </w:rPr>
  </w:style>
  <w:style w:type="paragraph" w:customStyle="1" w:styleId="Heading">
    <w:name w:val="Heading"/>
    <w:basedOn w:val="Normal"/>
    <w:rsid w:val="002B6321"/>
    <w:rPr>
      <w:i/>
      <w:sz w:val="22"/>
      <w:szCs w:val="22"/>
      <w:lang w:val="en-GB"/>
    </w:rPr>
  </w:style>
  <w:style w:type="paragraph" w:customStyle="1" w:styleId="Indent2">
    <w:name w:val="Indent2"/>
    <w:basedOn w:val="Normal"/>
    <w:rsid w:val="002B6321"/>
    <w:pPr>
      <w:ind w:left="1440" w:hanging="720"/>
      <w:jc w:val="both"/>
    </w:pPr>
    <w:rPr>
      <w:sz w:val="22"/>
      <w:lang w:val="en-GB"/>
    </w:rPr>
  </w:style>
  <w:style w:type="paragraph" w:styleId="NormalIndent">
    <w:name w:val="Normal Indent"/>
    <w:basedOn w:val="Normal"/>
    <w:rsid w:val="002B6321"/>
    <w:pPr>
      <w:ind w:left="720"/>
      <w:jc w:val="both"/>
    </w:pPr>
    <w:rPr>
      <w:rFonts w:ascii="Times" w:hAnsi="Times"/>
      <w:sz w:val="22"/>
      <w:lang w:val="en-GB"/>
    </w:rPr>
  </w:style>
  <w:style w:type="paragraph" w:customStyle="1" w:styleId="Indent1">
    <w:name w:val="Indent1"/>
    <w:basedOn w:val="Normal"/>
    <w:rsid w:val="002B6321"/>
    <w:pPr>
      <w:ind w:left="720" w:hanging="720"/>
      <w:jc w:val="both"/>
    </w:pPr>
    <w:rPr>
      <w:sz w:val="22"/>
      <w:lang w:val="en-GB"/>
    </w:rPr>
  </w:style>
  <w:style w:type="paragraph" w:customStyle="1" w:styleId="Indent3">
    <w:name w:val="Indent3"/>
    <w:basedOn w:val="Normal"/>
    <w:rsid w:val="002B6321"/>
    <w:pPr>
      <w:ind w:left="2160" w:hanging="720"/>
      <w:jc w:val="both"/>
    </w:pPr>
    <w:rPr>
      <w:sz w:val="22"/>
      <w:lang w:val="en-GB"/>
    </w:rPr>
  </w:style>
  <w:style w:type="paragraph" w:customStyle="1" w:styleId="GridTable31">
    <w:name w:val="Grid Table 31"/>
    <w:basedOn w:val="Heading1"/>
    <w:next w:val="Normal"/>
    <w:uiPriority w:val="39"/>
    <w:unhideWhenUsed/>
    <w:qFormat/>
    <w:rsid w:val="002B6321"/>
    <w:pPr>
      <w:keepLines/>
      <w:spacing w:before="480" w:line="276" w:lineRule="auto"/>
      <w:outlineLvl w:val="9"/>
    </w:pPr>
    <w:rPr>
      <w:rFonts w:ascii="Calibri" w:hAnsi="Calibri"/>
      <w:b/>
      <w:bCs/>
      <w:color w:val="365F91"/>
      <w:szCs w:val="28"/>
      <w:lang w:val="en-GB"/>
    </w:rPr>
  </w:style>
  <w:style w:type="character" w:customStyle="1" w:styleId="Bodytext22">
    <w:name w:val="Body text (2)_"/>
    <w:link w:val="Bodytext210"/>
    <w:rsid w:val="002B6321"/>
    <w:rPr>
      <w:b/>
      <w:bCs/>
      <w:spacing w:val="9"/>
      <w:shd w:val="clear" w:color="auto" w:fill="FFFFFF"/>
    </w:rPr>
  </w:style>
  <w:style w:type="paragraph" w:customStyle="1" w:styleId="Bodytext210">
    <w:name w:val="Body text (2)1"/>
    <w:basedOn w:val="Normal"/>
    <w:link w:val="Bodytext22"/>
    <w:rsid w:val="002B6321"/>
    <w:pPr>
      <w:widowControl w:val="0"/>
      <w:shd w:val="clear" w:color="auto" w:fill="FFFFFF"/>
      <w:spacing w:after="180" w:line="288" w:lineRule="exact"/>
      <w:jc w:val="center"/>
    </w:pPr>
    <w:rPr>
      <w:b/>
      <w:bCs/>
      <w:spacing w:val="9"/>
      <w:lang w:val="vi-VN" w:eastAsia="vi-VN"/>
    </w:rPr>
  </w:style>
  <w:style w:type="character" w:customStyle="1" w:styleId="UnresolvedMention2">
    <w:name w:val="Unresolved Mention2"/>
    <w:basedOn w:val="DefaultParagraphFont"/>
    <w:uiPriority w:val="99"/>
    <w:semiHidden/>
    <w:unhideWhenUsed/>
    <w:rsid w:val="002B6321"/>
    <w:rPr>
      <w:color w:val="605E5C"/>
      <w:shd w:val="clear" w:color="auto" w:fill="E1DFDD"/>
    </w:rPr>
  </w:style>
  <w:style w:type="character" w:customStyle="1" w:styleId="BodyTextIndentChar2">
    <w:name w:val="Body Text Indent Char2"/>
    <w:aliases w:val="Body Text Indent Char1 Char,Body Text Indent Char1 Char Char Char Char,Body Text Indent Char1 Char Char Char1,Body Text Indent Char1 Char Char Char Char  Char Char Char Char"/>
    <w:basedOn w:val="DefaultParagraphFont"/>
    <w:rsid w:val="002B6321"/>
    <w:rPr>
      <w:rFonts w:ascii=".VnTime" w:eastAsia="Times New Roman" w:hAnsi=".VnTime" w:cs="Times New Roman"/>
      <w:sz w:val="28"/>
      <w:szCs w:val="20"/>
      <w:lang w:val="en-US"/>
    </w:rPr>
  </w:style>
  <w:style w:type="paragraph" w:customStyle="1" w:styleId="Char4">
    <w:name w:val="Char4"/>
    <w:basedOn w:val="Normal"/>
    <w:semiHidden/>
    <w:rsid w:val="002B6321"/>
    <w:pPr>
      <w:spacing w:after="160" w:line="240" w:lineRule="exact"/>
    </w:pPr>
    <w:rPr>
      <w:rFonts w:ascii="Arial" w:hAnsi="Arial" w:cs="Arial"/>
      <w:sz w:val="22"/>
      <w:szCs w:val="22"/>
      <w:lang w:val="en-US"/>
    </w:rPr>
  </w:style>
  <w:style w:type="paragraph" w:customStyle="1" w:styleId="Libng31">
    <w:name w:val="Lưới bảng 31"/>
    <w:basedOn w:val="Heading1"/>
    <w:next w:val="Normal"/>
    <w:uiPriority w:val="39"/>
    <w:unhideWhenUsed/>
    <w:qFormat/>
    <w:rsid w:val="002B6321"/>
    <w:pPr>
      <w:keepLines/>
      <w:spacing w:before="480" w:line="276" w:lineRule="auto"/>
      <w:outlineLvl w:val="9"/>
    </w:pPr>
    <w:rPr>
      <w:rFonts w:ascii="Calibri" w:hAnsi="Calibri"/>
      <w:b/>
      <w:bCs/>
      <w:color w:val="365F91"/>
      <w:szCs w:val="28"/>
      <w:lang w:val="en-GB"/>
    </w:rPr>
  </w:style>
  <w:style w:type="character" w:customStyle="1" w:styleId="cpChagiiquyt1">
    <w:name w:val="Đề cập Chưa giải quyết1"/>
    <w:uiPriority w:val="99"/>
    <w:semiHidden/>
    <w:unhideWhenUsed/>
    <w:rsid w:val="002B6321"/>
    <w:rPr>
      <w:color w:val="605E5C"/>
      <w:shd w:val="clear" w:color="auto" w:fill="E1DFDD"/>
    </w:rPr>
  </w:style>
  <w:style w:type="paragraph" w:customStyle="1" w:styleId="DarkList-Accent31">
    <w:name w:val="Dark List - Accent 31"/>
    <w:hidden/>
    <w:uiPriority w:val="71"/>
    <w:rsid w:val="002B6321"/>
    <w:rPr>
      <w:sz w:val="24"/>
      <w:szCs w:val="24"/>
      <w:lang w:val="en-US"/>
    </w:rPr>
  </w:style>
  <w:style w:type="paragraph" w:customStyle="1" w:styleId="GridTable32">
    <w:name w:val="Grid Table 32"/>
    <w:basedOn w:val="Heading1"/>
    <w:next w:val="Normal"/>
    <w:uiPriority w:val="39"/>
    <w:unhideWhenUsed/>
    <w:qFormat/>
    <w:rsid w:val="002B6321"/>
    <w:pPr>
      <w:keepLines/>
      <w:spacing w:before="480" w:line="276" w:lineRule="auto"/>
      <w:outlineLvl w:val="9"/>
    </w:pPr>
    <w:rPr>
      <w:rFonts w:ascii="Calibri" w:eastAsia="MS Gothic" w:hAnsi="Calibri"/>
      <w:b/>
      <w:bCs/>
      <w:color w:val="365F91"/>
      <w:szCs w:val="28"/>
    </w:rPr>
  </w:style>
  <w:style w:type="paragraph" w:customStyle="1" w:styleId="ColorfulList-Accent11">
    <w:name w:val="Colorful List - Accent 11"/>
    <w:basedOn w:val="Normal"/>
    <w:qFormat/>
    <w:rsid w:val="002B6321"/>
    <w:pPr>
      <w:spacing w:after="200" w:line="276" w:lineRule="auto"/>
      <w:ind w:left="720"/>
      <w:contextualSpacing/>
    </w:pPr>
    <w:rPr>
      <w:rFonts w:ascii="Calibri" w:eastAsia="Calibri" w:hAnsi="Calibri"/>
      <w:sz w:val="22"/>
      <w:szCs w:val="22"/>
      <w:lang w:val="en-US"/>
    </w:rPr>
  </w:style>
  <w:style w:type="character" w:customStyle="1" w:styleId="UnresolvedMention3">
    <w:name w:val="Unresolved Mention3"/>
    <w:basedOn w:val="DefaultParagraphFont"/>
    <w:uiPriority w:val="99"/>
    <w:semiHidden/>
    <w:unhideWhenUsed/>
    <w:rsid w:val="002B6321"/>
    <w:rPr>
      <w:color w:val="605E5C"/>
      <w:shd w:val="clear" w:color="auto" w:fill="E1DFDD"/>
    </w:rPr>
  </w:style>
  <w:style w:type="character" w:customStyle="1" w:styleId="Heading5Char1">
    <w:name w:val="Heading 5 Char1"/>
    <w:basedOn w:val="DefaultParagraphFont"/>
    <w:semiHidden/>
    <w:rsid w:val="002B6321"/>
    <w:rPr>
      <w:rFonts w:asciiTheme="majorHAnsi" w:eastAsiaTheme="majorEastAsia" w:hAnsiTheme="majorHAnsi" w:cstheme="majorBidi"/>
      <w:color w:val="1F3763" w:themeColor="accent1" w:themeShade="7F"/>
      <w:lang w:val="en-AU" w:eastAsia="en-US"/>
    </w:rPr>
  </w:style>
  <w:style w:type="paragraph" w:customStyle="1" w:styleId="Num-DocParagraph">
    <w:name w:val="Num-Doc Paragraph"/>
    <w:basedOn w:val="BodyText"/>
    <w:rsid w:val="00641368"/>
    <w:pPr>
      <w:tabs>
        <w:tab w:val="left" w:pos="850"/>
        <w:tab w:val="left" w:pos="1191"/>
        <w:tab w:val="left" w:pos="1531"/>
      </w:tabs>
      <w:spacing w:after="240"/>
    </w:pPr>
    <w:rPr>
      <w:rFonts w:ascii="Times New Roman" w:hAnsi="Times New Roman"/>
      <w:sz w:val="22"/>
      <w:szCs w:val="22"/>
      <w:lang w:val="en-GB"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character" w:customStyle="1" w:styleId="UnresolvedMention4">
    <w:name w:val="Unresolved Mention4"/>
    <w:basedOn w:val="DefaultParagraphFont"/>
    <w:uiPriority w:val="99"/>
    <w:semiHidden/>
    <w:unhideWhenUsed/>
    <w:rsid w:val="00096B7E"/>
    <w:rPr>
      <w:color w:val="605E5C"/>
      <w:shd w:val="clear" w:color="auto" w:fill="E1DFDD"/>
    </w:rPr>
  </w:style>
  <w:style w:type="paragraph" w:customStyle="1" w:styleId="ds-markdown-paragraph">
    <w:name w:val="ds-markdown-paragraph"/>
    <w:basedOn w:val="Normal"/>
    <w:rsid w:val="006C0A07"/>
    <w:pPr>
      <w:spacing w:before="100" w:beforeAutospacing="1" w:after="100" w:afterAutospacing="1"/>
    </w:pPr>
    <w:rPr>
      <w:sz w:val="24"/>
      <w:szCs w:val="24"/>
      <w:lang w:val="en-US"/>
    </w:rPr>
  </w:style>
  <w:style w:type="character" w:customStyle="1" w:styleId="ng-star-inserted">
    <w:name w:val="ng-star-inserted"/>
    <w:basedOn w:val="DefaultParagraphFont"/>
    <w:rsid w:val="002668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324972">
      <w:bodyDiv w:val="1"/>
      <w:marLeft w:val="0"/>
      <w:marRight w:val="0"/>
      <w:marTop w:val="0"/>
      <w:marBottom w:val="0"/>
      <w:divBdr>
        <w:top w:val="none" w:sz="0" w:space="0" w:color="auto"/>
        <w:left w:val="none" w:sz="0" w:space="0" w:color="auto"/>
        <w:bottom w:val="none" w:sz="0" w:space="0" w:color="auto"/>
        <w:right w:val="none" w:sz="0" w:space="0" w:color="auto"/>
      </w:divBdr>
      <w:divsChild>
        <w:div w:id="515657799">
          <w:marLeft w:val="0"/>
          <w:marRight w:val="0"/>
          <w:marTop w:val="0"/>
          <w:marBottom w:val="0"/>
          <w:divBdr>
            <w:top w:val="none" w:sz="0" w:space="0" w:color="auto"/>
            <w:left w:val="none" w:sz="0" w:space="0" w:color="auto"/>
            <w:bottom w:val="none" w:sz="0" w:space="0" w:color="auto"/>
            <w:right w:val="none" w:sz="0" w:space="0" w:color="auto"/>
          </w:divBdr>
        </w:div>
        <w:div w:id="1413233252">
          <w:marLeft w:val="0"/>
          <w:marRight w:val="0"/>
          <w:marTop w:val="0"/>
          <w:marBottom w:val="0"/>
          <w:divBdr>
            <w:top w:val="none" w:sz="0" w:space="0" w:color="auto"/>
            <w:left w:val="none" w:sz="0" w:space="0" w:color="auto"/>
            <w:bottom w:val="none" w:sz="0" w:space="0" w:color="auto"/>
            <w:right w:val="none" w:sz="0" w:space="0" w:color="auto"/>
          </w:divBdr>
        </w:div>
        <w:div w:id="984822933">
          <w:marLeft w:val="0"/>
          <w:marRight w:val="0"/>
          <w:marTop w:val="0"/>
          <w:marBottom w:val="0"/>
          <w:divBdr>
            <w:top w:val="none" w:sz="0" w:space="0" w:color="auto"/>
            <w:left w:val="none" w:sz="0" w:space="0" w:color="auto"/>
            <w:bottom w:val="none" w:sz="0" w:space="0" w:color="auto"/>
            <w:right w:val="none" w:sz="0" w:space="0" w:color="auto"/>
          </w:divBdr>
        </w:div>
      </w:divsChild>
    </w:div>
    <w:div w:id="107747250">
      <w:bodyDiv w:val="1"/>
      <w:marLeft w:val="0"/>
      <w:marRight w:val="0"/>
      <w:marTop w:val="0"/>
      <w:marBottom w:val="0"/>
      <w:divBdr>
        <w:top w:val="none" w:sz="0" w:space="0" w:color="auto"/>
        <w:left w:val="none" w:sz="0" w:space="0" w:color="auto"/>
        <w:bottom w:val="none" w:sz="0" w:space="0" w:color="auto"/>
        <w:right w:val="none" w:sz="0" w:space="0" w:color="auto"/>
      </w:divBdr>
      <w:divsChild>
        <w:div w:id="388304002">
          <w:marLeft w:val="0"/>
          <w:marRight w:val="0"/>
          <w:marTop w:val="0"/>
          <w:marBottom w:val="0"/>
          <w:divBdr>
            <w:top w:val="none" w:sz="0" w:space="0" w:color="auto"/>
            <w:left w:val="none" w:sz="0" w:space="0" w:color="auto"/>
            <w:bottom w:val="none" w:sz="0" w:space="0" w:color="auto"/>
            <w:right w:val="none" w:sz="0" w:space="0" w:color="auto"/>
          </w:divBdr>
        </w:div>
      </w:divsChild>
    </w:div>
    <w:div w:id="131561305">
      <w:bodyDiv w:val="1"/>
      <w:marLeft w:val="0"/>
      <w:marRight w:val="0"/>
      <w:marTop w:val="0"/>
      <w:marBottom w:val="0"/>
      <w:divBdr>
        <w:top w:val="none" w:sz="0" w:space="0" w:color="auto"/>
        <w:left w:val="none" w:sz="0" w:space="0" w:color="auto"/>
        <w:bottom w:val="none" w:sz="0" w:space="0" w:color="auto"/>
        <w:right w:val="none" w:sz="0" w:space="0" w:color="auto"/>
      </w:divBdr>
      <w:divsChild>
        <w:div w:id="1980449484">
          <w:marLeft w:val="0"/>
          <w:marRight w:val="0"/>
          <w:marTop w:val="0"/>
          <w:marBottom w:val="0"/>
          <w:divBdr>
            <w:top w:val="none" w:sz="0" w:space="0" w:color="auto"/>
            <w:left w:val="none" w:sz="0" w:space="0" w:color="auto"/>
            <w:bottom w:val="none" w:sz="0" w:space="0" w:color="auto"/>
            <w:right w:val="none" w:sz="0" w:space="0" w:color="auto"/>
          </w:divBdr>
        </w:div>
        <w:div w:id="555506565">
          <w:marLeft w:val="0"/>
          <w:marRight w:val="0"/>
          <w:marTop w:val="0"/>
          <w:marBottom w:val="0"/>
          <w:divBdr>
            <w:top w:val="none" w:sz="0" w:space="0" w:color="auto"/>
            <w:left w:val="none" w:sz="0" w:space="0" w:color="auto"/>
            <w:bottom w:val="none" w:sz="0" w:space="0" w:color="auto"/>
            <w:right w:val="none" w:sz="0" w:space="0" w:color="auto"/>
          </w:divBdr>
        </w:div>
        <w:div w:id="458694332">
          <w:marLeft w:val="0"/>
          <w:marRight w:val="0"/>
          <w:marTop w:val="0"/>
          <w:marBottom w:val="0"/>
          <w:divBdr>
            <w:top w:val="none" w:sz="0" w:space="0" w:color="auto"/>
            <w:left w:val="none" w:sz="0" w:space="0" w:color="auto"/>
            <w:bottom w:val="none" w:sz="0" w:space="0" w:color="auto"/>
            <w:right w:val="none" w:sz="0" w:space="0" w:color="auto"/>
          </w:divBdr>
        </w:div>
      </w:divsChild>
    </w:div>
    <w:div w:id="141310197">
      <w:bodyDiv w:val="1"/>
      <w:marLeft w:val="0"/>
      <w:marRight w:val="0"/>
      <w:marTop w:val="0"/>
      <w:marBottom w:val="0"/>
      <w:divBdr>
        <w:top w:val="none" w:sz="0" w:space="0" w:color="auto"/>
        <w:left w:val="none" w:sz="0" w:space="0" w:color="auto"/>
        <w:bottom w:val="none" w:sz="0" w:space="0" w:color="auto"/>
        <w:right w:val="none" w:sz="0" w:space="0" w:color="auto"/>
      </w:divBdr>
      <w:divsChild>
        <w:div w:id="53432862">
          <w:marLeft w:val="0"/>
          <w:marRight w:val="0"/>
          <w:marTop w:val="0"/>
          <w:marBottom w:val="0"/>
          <w:divBdr>
            <w:top w:val="none" w:sz="0" w:space="0" w:color="auto"/>
            <w:left w:val="none" w:sz="0" w:space="0" w:color="auto"/>
            <w:bottom w:val="none" w:sz="0" w:space="0" w:color="auto"/>
            <w:right w:val="none" w:sz="0" w:space="0" w:color="auto"/>
          </w:divBdr>
        </w:div>
        <w:div w:id="2012904376">
          <w:marLeft w:val="0"/>
          <w:marRight w:val="0"/>
          <w:marTop w:val="0"/>
          <w:marBottom w:val="0"/>
          <w:divBdr>
            <w:top w:val="none" w:sz="0" w:space="0" w:color="auto"/>
            <w:left w:val="none" w:sz="0" w:space="0" w:color="auto"/>
            <w:bottom w:val="none" w:sz="0" w:space="0" w:color="auto"/>
            <w:right w:val="none" w:sz="0" w:space="0" w:color="auto"/>
          </w:divBdr>
        </w:div>
      </w:divsChild>
    </w:div>
    <w:div w:id="212273829">
      <w:bodyDiv w:val="1"/>
      <w:marLeft w:val="0"/>
      <w:marRight w:val="0"/>
      <w:marTop w:val="0"/>
      <w:marBottom w:val="0"/>
      <w:divBdr>
        <w:top w:val="none" w:sz="0" w:space="0" w:color="auto"/>
        <w:left w:val="none" w:sz="0" w:space="0" w:color="auto"/>
        <w:bottom w:val="none" w:sz="0" w:space="0" w:color="auto"/>
        <w:right w:val="none" w:sz="0" w:space="0" w:color="auto"/>
      </w:divBdr>
      <w:divsChild>
        <w:div w:id="1161459010">
          <w:marLeft w:val="0"/>
          <w:marRight w:val="0"/>
          <w:marTop w:val="0"/>
          <w:marBottom w:val="0"/>
          <w:divBdr>
            <w:top w:val="none" w:sz="0" w:space="0" w:color="auto"/>
            <w:left w:val="none" w:sz="0" w:space="0" w:color="auto"/>
            <w:bottom w:val="none" w:sz="0" w:space="0" w:color="auto"/>
            <w:right w:val="none" w:sz="0" w:space="0" w:color="auto"/>
          </w:divBdr>
        </w:div>
        <w:div w:id="408814536">
          <w:marLeft w:val="0"/>
          <w:marRight w:val="0"/>
          <w:marTop w:val="0"/>
          <w:marBottom w:val="0"/>
          <w:divBdr>
            <w:top w:val="none" w:sz="0" w:space="0" w:color="auto"/>
            <w:left w:val="none" w:sz="0" w:space="0" w:color="auto"/>
            <w:bottom w:val="none" w:sz="0" w:space="0" w:color="auto"/>
            <w:right w:val="none" w:sz="0" w:space="0" w:color="auto"/>
          </w:divBdr>
        </w:div>
        <w:div w:id="223568376">
          <w:marLeft w:val="0"/>
          <w:marRight w:val="0"/>
          <w:marTop w:val="0"/>
          <w:marBottom w:val="0"/>
          <w:divBdr>
            <w:top w:val="none" w:sz="0" w:space="0" w:color="auto"/>
            <w:left w:val="none" w:sz="0" w:space="0" w:color="auto"/>
            <w:bottom w:val="none" w:sz="0" w:space="0" w:color="auto"/>
            <w:right w:val="none" w:sz="0" w:space="0" w:color="auto"/>
          </w:divBdr>
        </w:div>
      </w:divsChild>
    </w:div>
    <w:div w:id="297684113">
      <w:bodyDiv w:val="1"/>
      <w:marLeft w:val="0"/>
      <w:marRight w:val="0"/>
      <w:marTop w:val="0"/>
      <w:marBottom w:val="0"/>
      <w:divBdr>
        <w:top w:val="none" w:sz="0" w:space="0" w:color="auto"/>
        <w:left w:val="none" w:sz="0" w:space="0" w:color="auto"/>
        <w:bottom w:val="none" w:sz="0" w:space="0" w:color="auto"/>
        <w:right w:val="none" w:sz="0" w:space="0" w:color="auto"/>
      </w:divBdr>
      <w:divsChild>
        <w:div w:id="694114134">
          <w:marLeft w:val="0"/>
          <w:marRight w:val="0"/>
          <w:marTop w:val="0"/>
          <w:marBottom w:val="0"/>
          <w:divBdr>
            <w:top w:val="none" w:sz="0" w:space="0" w:color="auto"/>
            <w:left w:val="none" w:sz="0" w:space="0" w:color="auto"/>
            <w:bottom w:val="none" w:sz="0" w:space="0" w:color="auto"/>
            <w:right w:val="none" w:sz="0" w:space="0" w:color="auto"/>
          </w:divBdr>
        </w:div>
        <w:div w:id="318266028">
          <w:marLeft w:val="0"/>
          <w:marRight w:val="0"/>
          <w:marTop w:val="0"/>
          <w:marBottom w:val="0"/>
          <w:divBdr>
            <w:top w:val="none" w:sz="0" w:space="0" w:color="auto"/>
            <w:left w:val="none" w:sz="0" w:space="0" w:color="auto"/>
            <w:bottom w:val="none" w:sz="0" w:space="0" w:color="auto"/>
            <w:right w:val="none" w:sz="0" w:space="0" w:color="auto"/>
          </w:divBdr>
        </w:div>
        <w:div w:id="691802521">
          <w:marLeft w:val="0"/>
          <w:marRight w:val="0"/>
          <w:marTop w:val="0"/>
          <w:marBottom w:val="0"/>
          <w:divBdr>
            <w:top w:val="none" w:sz="0" w:space="0" w:color="auto"/>
            <w:left w:val="none" w:sz="0" w:space="0" w:color="auto"/>
            <w:bottom w:val="none" w:sz="0" w:space="0" w:color="auto"/>
            <w:right w:val="none" w:sz="0" w:space="0" w:color="auto"/>
          </w:divBdr>
        </w:div>
        <w:div w:id="1082482176">
          <w:marLeft w:val="0"/>
          <w:marRight w:val="0"/>
          <w:marTop w:val="0"/>
          <w:marBottom w:val="0"/>
          <w:divBdr>
            <w:top w:val="none" w:sz="0" w:space="0" w:color="auto"/>
            <w:left w:val="none" w:sz="0" w:space="0" w:color="auto"/>
            <w:bottom w:val="none" w:sz="0" w:space="0" w:color="auto"/>
            <w:right w:val="none" w:sz="0" w:space="0" w:color="auto"/>
          </w:divBdr>
        </w:div>
        <w:div w:id="32973244">
          <w:marLeft w:val="0"/>
          <w:marRight w:val="0"/>
          <w:marTop w:val="0"/>
          <w:marBottom w:val="0"/>
          <w:divBdr>
            <w:top w:val="none" w:sz="0" w:space="0" w:color="auto"/>
            <w:left w:val="none" w:sz="0" w:space="0" w:color="auto"/>
            <w:bottom w:val="none" w:sz="0" w:space="0" w:color="auto"/>
            <w:right w:val="none" w:sz="0" w:space="0" w:color="auto"/>
          </w:divBdr>
        </w:div>
      </w:divsChild>
    </w:div>
    <w:div w:id="304353893">
      <w:bodyDiv w:val="1"/>
      <w:marLeft w:val="0"/>
      <w:marRight w:val="0"/>
      <w:marTop w:val="0"/>
      <w:marBottom w:val="0"/>
      <w:divBdr>
        <w:top w:val="none" w:sz="0" w:space="0" w:color="auto"/>
        <w:left w:val="none" w:sz="0" w:space="0" w:color="auto"/>
        <w:bottom w:val="none" w:sz="0" w:space="0" w:color="auto"/>
        <w:right w:val="none" w:sz="0" w:space="0" w:color="auto"/>
      </w:divBdr>
      <w:divsChild>
        <w:div w:id="941956530">
          <w:marLeft w:val="0"/>
          <w:marRight w:val="0"/>
          <w:marTop w:val="0"/>
          <w:marBottom w:val="0"/>
          <w:divBdr>
            <w:top w:val="none" w:sz="0" w:space="0" w:color="auto"/>
            <w:left w:val="none" w:sz="0" w:space="0" w:color="auto"/>
            <w:bottom w:val="none" w:sz="0" w:space="0" w:color="auto"/>
            <w:right w:val="none" w:sz="0" w:space="0" w:color="auto"/>
          </w:divBdr>
        </w:div>
        <w:div w:id="1126389272">
          <w:marLeft w:val="0"/>
          <w:marRight w:val="0"/>
          <w:marTop w:val="0"/>
          <w:marBottom w:val="0"/>
          <w:divBdr>
            <w:top w:val="none" w:sz="0" w:space="0" w:color="auto"/>
            <w:left w:val="none" w:sz="0" w:space="0" w:color="auto"/>
            <w:bottom w:val="none" w:sz="0" w:space="0" w:color="auto"/>
            <w:right w:val="none" w:sz="0" w:space="0" w:color="auto"/>
          </w:divBdr>
        </w:div>
        <w:div w:id="1984698377">
          <w:marLeft w:val="0"/>
          <w:marRight w:val="0"/>
          <w:marTop w:val="0"/>
          <w:marBottom w:val="0"/>
          <w:divBdr>
            <w:top w:val="none" w:sz="0" w:space="0" w:color="auto"/>
            <w:left w:val="none" w:sz="0" w:space="0" w:color="auto"/>
            <w:bottom w:val="none" w:sz="0" w:space="0" w:color="auto"/>
            <w:right w:val="none" w:sz="0" w:space="0" w:color="auto"/>
          </w:divBdr>
        </w:div>
        <w:div w:id="671420428">
          <w:marLeft w:val="0"/>
          <w:marRight w:val="0"/>
          <w:marTop w:val="0"/>
          <w:marBottom w:val="0"/>
          <w:divBdr>
            <w:top w:val="none" w:sz="0" w:space="0" w:color="auto"/>
            <w:left w:val="none" w:sz="0" w:space="0" w:color="auto"/>
            <w:bottom w:val="none" w:sz="0" w:space="0" w:color="auto"/>
            <w:right w:val="none" w:sz="0" w:space="0" w:color="auto"/>
          </w:divBdr>
        </w:div>
        <w:div w:id="865943056">
          <w:marLeft w:val="0"/>
          <w:marRight w:val="0"/>
          <w:marTop w:val="0"/>
          <w:marBottom w:val="0"/>
          <w:divBdr>
            <w:top w:val="none" w:sz="0" w:space="0" w:color="auto"/>
            <w:left w:val="none" w:sz="0" w:space="0" w:color="auto"/>
            <w:bottom w:val="none" w:sz="0" w:space="0" w:color="auto"/>
            <w:right w:val="none" w:sz="0" w:space="0" w:color="auto"/>
          </w:divBdr>
        </w:div>
        <w:div w:id="474025515">
          <w:marLeft w:val="0"/>
          <w:marRight w:val="0"/>
          <w:marTop w:val="0"/>
          <w:marBottom w:val="0"/>
          <w:divBdr>
            <w:top w:val="none" w:sz="0" w:space="0" w:color="auto"/>
            <w:left w:val="none" w:sz="0" w:space="0" w:color="auto"/>
            <w:bottom w:val="none" w:sz="0" w:space="0" w:color="auto"/>
            <w:right w:val="none" w:sz="0" w:space="0" w:color="auto"/>
          </w:divBdr>
        </w:div>
        <w:div w:id="544146285">
          <w:marLeft w:val="0"/>
          <w:marRight w:val="0"/>
          <w:marTop w:val="0"/>
          <w:marBottom w:val="0"/>
          <w:divBdr>
            <w:top w:val="none" w:sz="0" w:space="0" w:color="auto"/>
            <w:left w:val="none" w:sz="0" w:space="0" w:color="auto"/>
            <w:bottom w:val="none" w:sz="0" w:space="0" w:color="auto"/>
            <w:right w:val="none" w:sz="0" w:space="0" w:color="auto"/>
          </w:divBdr>
        </w:div>
        <w:div w:id="2048067156">
          <w:marLeft w:val="0"/>
          <w:marRight w:val="0"/>
          <w:marTop w:val="0"/>
          <w:marBottom w:val="0"/>
          <w:divBdr>
            <w:top w:val="none" w:sz="0" w:space="0" w:color="auto"/>
            <w:left w:val="none" w:sz="0" w:space="0" w:color="auto"/>
            <w:bottom w:val="none" w:sz="0" w:space="0" w:color="auto"/>
            <w:right w:val="none" w:sz="0" w:space="0" w:color="auto"/>
          </w:divBdr>
        </w:div>
        <w:div w:id="992177702">
          <w:marLeft w:val="0"/>
          <w:marRight w:val="0"/>
          <w:marTop w:val="0"/>
          <w:marBottom w:val="0"/>
          <w:divBdr>
            <w:top w:val="none" w:sz="0" w:space="0" w:color="auto"/>
            <w:left w:val="none" w:sz="0" w:space="0" w:color="auto"/>
            <w:bottom w:val="none" w:sz="0" w:space="0" w:color="auto"/>
            <w:right w:val="none" w:sz="0" w:space="0" w:color="auto"/>
          </w:divBdr>
        </w:div>
        <w:div w:id="1484084413">
          <w:marLeft w:val="0"/>
          <w:marRight w:val="0"/>
          <w:marTop w:val="0"/>
          <w:marBottom w:val="0"/>
          <w:divBdr>
            <w:top w:val="none" w:sz="0" w:space="0" w:color="auto"/>
            <w:left w:val="none" w:sz="0" w:space="0" w:color="auto"/>
            <w:bottom w:val="none" w:sz="0" w:space="0" w:color="auto"/>
            <w:right w:val="none" w:sz="0" w:space="0" w:color="auto"/>
          </w:divBdr>
        </w:div>
        <w:div w:id="1664965379">
          <w:marLeft w:val="0"/>
          <w:marRight w:val="0"/>
          <w:marTop w:val="0"/>
          <w:marBottom w:val="0"/>
          <w:divBdr>
            <w:top w:val="none" w:sz="0" w:space="0" w:color="auto"/>
            <w:left w:val="none" w:sz="0" w:space="0" w:color="auto"/>
            <w:bottom w:val="none" w:sz="0" w:space="0" w:color="auto"/>
            <w:right w:val="none" w:sz="0" w:space="0" w:color="auto"/>
          </w:divBdr>
        </w:div>
        <w:div w:id="761029896">
          <w:marLeft w:val="0"/>
          <w:marRight w:val="0"/>
          <w:marTop w:val="0"/>
          <w:marBottom w:val="0"/>
          <w:divBdr>
            <w:top w:val="none" w:sz="0" w:space="0" w:color="auto"/>
            <w:left w:val="none" w:sz="0" w:space="0" w:color="auto"/>
            <w:bottom w:val="none" w:sz="0" w:space="0" w:color="auto"/>
            <w:right w:val="none" w:sz="0" w:space="0" w:color="auto"/>
          </w:divBdr>
        </w:div>
        <w:div w:id="1192231246">
          <w:marLeft w:val="0"/>
          <w:marRight w:val="0"/>
          <w:marTop w:val="0"/>
          <w:marBottom w:val="0"/>
          <w:divBdr>
            <w:top w:val="none" w:sz="0" w:space="0" w:color="auto"/>
            <w:left w:val="none" w:sz="0" w:space="0" w:color="auto"/>
            <w:bottom w:val="none" w:sz="0" w:space="0" w:color="auto"/>
            <w:right w:val="none" w:sz="0" w:space="0" w:color="auto"/>
          </w:divBdr>
        </w:div>
        <w:div w:id="155650123">
          <w:marLeft w:val="0"/>
          <w:marRight w:val="0"/>
          <w:marTop w:val="0"/>
          <w:marBottom w:val="0"/>
          <w:divBdr>
            <w:top w:val="none" w:sz="0" w:space="0" w:color="auto"/>
            <w:left w:val="none" w:sz="0" w:space="0" w:color="auto"/>
            <w:bottom w:val="none" w:sz="0" w:space="0" w:color="auto"/>
            <w:right w:val="none" w:sz="0" w:space="0" w:color="auto"/>
          </w:divBdr>
        </w:div>
        <w:div w:id="1516580606">
          <w:marLeft w:val="0"/>
          <w:marRight w:val="0"/>
          <w:marTop w:val="0"/>
          <w:marBottom w:val="0"/>
          <w:divBdr>
            <w:top w:val="none" w:sz="0" w:space="0" w:color="auto"/>
            <w:left w:val="none" w:sz="0" w:space="0" w:color="auto"/>
            <w:bottom w:val="none" w:sz="0" w:space="0" w:color="auto"/>
            <w:right w:val="none" w:sz="0" w:space="0" w:color="auto"/>
          </w:divBdr>
        </w:div>
        <w:div w:id="1203784352">
          <w:marLeft w:val="0"/>
          <w:marRight w:val="0"/>
          <w:marTop w:val="0"/>
          <w:marBottom w:val="0"/>
          <w:divBdr>
            <w:top w:val="none" w:sz="0" w:space="0" w:color="auto"/>
            <w:left w:val="none" w:sz="0" w:space="0" w:color="auto"/>
            <w:bottom w:val="none" w:sz="0" w:space="0" w:color="auto"/>
            <w:right w:val="none" w:sz="0" w:space="0" w:color="auto"/>
          </w:divBdr>
        </w:div>
        <w:div w:id="1218277535">
          <w:marLeft w:val="0"/>
          <w:marRight w:val="0"/>
          <w:marTop w:val="0"/>
          <w:marBottom w:val="0"/>
          <w:divBdr>
            <w:top w:val="none" w:sz="0" w:space="0" w:color="auto"/>
            <w:left w:val="none" w:sz="0" w:space="0" w:color="auto"/>
            <w:bottom w:val="none" w:sz="0" w:space="0" w:color="auto"/>
            <w:right w:val="none" w:sz="0" w:space="0" w:color="auto"/>
          </w:divBdr>
        </w:div>
        <w:div w:id="1506630517">
          <w:marLeft w:val="0"/>
          <w:marRight w:val="0"/>
          <w:marTop w:val="0"/>
          <w:marBottom w:val="0"/>
          <w:divBdr>
            <w:top w:val="none" w:sz="0" w:space="0" w:color="auto"/>
            <w:left w:val="none" w:sz="0" w:space="0" w:color="auto"/>
            <w:bottom w:val="none" w:sz="0" w:space="0" w:color="auto"/>
            <w:right w:val="none" w:sz="0" w:space="0" w:color="auto"/>
          </w:divBdr>
        </w:div>
        <w:div w:id="1089228636">
          <w:marLeft w:val="0"/>
          <w:marRight w:val="0"/>
          <w:marTop w:val="0"/>
          <w:marBottom w:val="0"/>
          <w:divBdr>
            <w:top w:val="none" w:sz="0" w:space="0" w:color="auto"/>
            <w:left w:val="none" w:sz="0" w:space="0" w:color="auto"/>
            <w:bottom w:val="none" w:sz="0" w:space="0" w:color="auto"/>
            <w:right w:val="none" w:sz="0" w:space="0" w:color="auto"/>
          </w:divBdr>
        </w:div>
        <w:div w:id="422840309">
          <w:marLeft w:val="0"/>
          <w:marRight w:val="0"/>
          <w:marTop w:val="0"/>
          <w:marBottom w:val="0"/>
          <w:divBdr>
            <w:top w:val="none" w:sz="0" w:space="0" w:color="auto"/>
            <w:left w:val="none" w:sz="0" w:space="0" w:color="auto"/>
            <w:bottom w:val="none" w:sz="0" w:space="0" w:color="auto"/>
            <w:right w:val="none" w:sz="0" w:space="0" w:color="auto"/>
          </w:divBdr>
        </w:div>
        <w:div w:id="1986426579">
          <w:marLeft w:val="0"/>
          <w:marRight w:val="0"/>
          <w:marTop w:val="0"/>
          <w:marBottom w:val="0"/>
          <w:divBdr>
            <w:top w:val="none" w:sz="0" w:space="0" w:color="auto"/>
            <w:left w:val="none" w:sz="0" w:space="0" w:color="auto"/>
            <w:bottom w:val="none" w:sz="0" w:space="0" w:color="auto"/>
            <w:right w:val="none" w:sz="0" w:space="0" w:color="auto"/>
          </w:divBdr>
        </w:div>
        <w:div w:id="535043939">
          <w:marLeft w:val="0"/>
          <w:marRight w:val="0"/>
          <w:marTop w:val="0"/>
          <w:marBottom w:val="0"/>
          <w:divBdr>
            <w:top w:val="none" w:sz="0" w:space="0" w:color="auto"/>
            <w:left w:val="none" w:sz="0" w:space="0" w:color="auto"/>
            <w:bottom w:val="none" w:sz="0" w:space="0" w:color="auto"/>
            <w:right w:val="none" w:sz="0" w:space="0" w:color="auto"/>
          </w:divBdr>
        </w:div>
        <w:div w:id="2004430887">
          <w:marLeft w:val="0"/>
          <w:marRight w:val="0"/>
          <w:marTop w:val="0"/>
          <w:marBottom w:val="0"/>
          <w:divBdr>
            <w:top w:val="none" w:sz="0" w:space="0" w:color="auto"/>
            <w:left w:val="none" w:sz="0" w:space="0" w:color="auto"/>
            <w:bottom w:val="none" w:sz="0" w:space="0" w:color="auto"/>
            <w:right w:val="none" w:sz="0" w:space="0" w:color="auto"/>
          </w:divBdr>
        </w:div>
        <w:div w:id="205988477">
          <w:marLeft w:val="0"/>
          <w:marRight w:val="0"/>
          <w:marTop w:val="0"/>
          <w:marBottom w:val="0"/>
          <w:divBdr>
            <w:top w:val="none" w:sz="0" w:space="0" w:color="auto"/>
            <w:left w:val="none" w:sz="0" w:space="0" w:color="auto"/>
            <w:bottom w:val="none" w:sz="0" w:space="0" w:color="auto"/>
            <w:right w:val="none" w:sz="0" w:space="0" w:color="auto"/>
          </w:divBdr>
        </w:div>
        <w:div w:id="485123952">
          <w:marLeft w:val="0"/>
          <w:marRight w:val="0"/>
          <w:marTop w:val="0"/>
          <w:marBottom w:val="0"/>
          <w:divBdr>
            <w:top w:val="none" w:sz="0" w:space="0" w:color="auto"/>
            <w:left w:val="none" w:sz="0" w:space="0" w:color="auto"/>
            <w:bottom w:val="none" w:sz="0" w:space="0" w:color="auto"/>
            <w:right w:val="none" w:sz="0" w:space="0" w:color="auto"/>
          </w:divBdr>
        </w:div>
        <w:div w:id="1802842283">
          <w:marLeft w:val="0"/>
          <w:marRight w:val="0"/>
          <w:marTop w:val="0"/>
          <w:marBottom w:val="0"/>
          <w:divBdr>
            <w:top w:val="none" w:sz="0" w:space="0" w:color="auto"/>
            <w:left w:val="none" w:sz="0" w:space="0" w:color="auto"/>
            <w:bottom w:val="none" w:sz="0" w:space="0" w:color="auto"/>
            <w:right w:val="none" w:sz="0" w:space="0" w:color="auto"/>
          </w:divBdr>
        </w:div>
        <w:div w:id="25719731">
          <w:marLeft w:val="0"/>
          <w:marRight w:val="0"/>
          <w:marTop w:val="0"/>
          <w:marBottom w:val="0"/>
          <w:divBdr>
            <w:top w:val="none" w:sz="0" w:space="0" w:color="auto"/>
            <w:left w:val="none" w:sz="0" w:space="0" w:color="auto"/>
            <w:bottom w:val="none" w:sz="0" w:space="0" w:color="auto"/>
            <w:right w:val="none" w:sz="0" w:space="0" w:color="auto"/>
          </w:divBdr>
        </w:div>
        <w:div w:id="1014261951">
          <w:marLeft w:val="0"/>
          <w:marRight w:val="0"/>
          <w:marTop w:val="0"/>
          <w:marBottom w:val="0"/>
          <w:divBdr>
            <w:top w:val="none" w:sz="0" w:space="0" w:color="auto"/>
            <w:left w:val="none" w:sz="0" w:space="0" w:color="auto"/>
            <w:bottom w:val="none" w:sz="0" w:space="0" w:color="auto"/>
            <w:right w:val="none" w:sz="0" w:space="0" w:color="auto"/>
          </w:divBdr>
        </w:div>
        <w:div w:id="1382241741">
          <w:marLeft w:val="0"/>
          <w:marRight w:val="0"/>
          <w:marTop w:val="0"/>
          <w:marBottom w:val="0"/>
          <w:divBdr>
            <w:top w:val="none" w:sz="0" w:space="0" w:color="auto"/>
            <w:left w:val="none" w:sz="0" w:space="0" w:color="auto"/>
            <w:bottom w:val="none" w:sz="0" w:space="0" w:color="auto"/>
            <w:right w:val="none" w:sz="0" w:space="0" w:color="auto"/>
          </w:divBdr>
        </w:div>
        <w:div w:id="274989121">
          <w:marLeft w:val="0"/>
          <w:marRight w:val="0"/>
          <w:marTop w:val="0"/>
          <w:marBottom w:val="0"/>
          <w:divBdr>
            <w:top w:val="none" w:sz="0" w:space="0" w:color="auto"/>
            <w:left w:val="none" w:sz="0" w:space="0" w:color="auto"/>
            <w:bottom w:val="none" w:sz="0" w:space="0" w:color="auto"/>
            <w:right w:val="none" w:sz="0" w:space="0" w:color="auto"/>
          </w:divBdr>
        </w:div>
        <w:div w:id="360278443">
          <w:marLeft w:val="0"/>
          <w:marRight w:val="0"/>
          <w:marTop w:val="0"/>
          <w:marBottom w:val="0"/>
          <w:divBdr>
            <w:top w:val="none" w:sz="0" w:space="0" w:color="auto"/>
            <w:left w:val="none" w:sz="0" w:space="0" w:color="auto"/>
            <w:bottom w:val="none" w:sz="0" w:space="0" w:color="auto"/>
            <w:right w:val="none" w:sz="0" w:space="0" w:color="auto"/>
          </w:divBdr>
        </w:div>
      </w:divsChild>
    </w:div>
    <w:div w:id="432826896">
      <w:bodyDiv w:val="1"/>
      <w:marLeft w:val="0"/>
      <w:marRight w:val="0"/>
      <w:marTop w:val="0"/>
      <w:marBottom w:val="0"/>
      <w:divBdr>
        <w:top w:val="none" w:sz="0" w:space="0" w:color="auto"/>
        <w:left w:val="none" w:sz="0" w:space="0" w:color="auto"/>
        <w:bottom w:val="none" w:sz="0" w:space="0" w:color="auto"/>
        <w:right w:val="none" w:sz="0" w:space="0" w:color="auto"/>
      </w:divBdr>
      <w:divsChild>
        <w:div w:id="738553543">
          <w:marLeft w:val="0"/>
          <w:marRight w:val="0"/>
          <w:marTop w:val="0"/>
          <w:marBottom w:val="0"/>
          <w:divBdr>
            <w:top w:val="none" w:sz="0" w:space="0" w:color="auto"/>
            <w:left w:val="none" w:sz="0" w:space="0" w:color="auto"/>
            <w:bottom w:val="none" w:sz="0" w:space="0" w:color="auto"/>
            <w:right w:val="none" w:sz="0" w:space="0" w:color="auto"/>
          </w:divBdr>
        </w:div>
        <w:div w:id="1883858697">
          <w:marLeft w:val="0"/>
          <w:marRight w:val="0"/>
          <w:marTop w:val="0"/>
          <w:marBottom w:val="0"/>
          <w:divBdr>
            <w:top w:val="none" w:sz="0" w:space="0" w:color="auto"/>
            <w:left w:val="none" w:sz="0" w:space="0" w:color="auto"/>
            <w:bottom w:val="none" w:sz="0" w:space="0" w:color="auto"/>
            <w:right w:val="none" w:sz="0" w:space="0" w:color="auto"/>
          </w:divBdr>
        </w:div>
        <w:div w:id="2080396299">
          <w:marLeft w:val="0"/>
          <w:marRight w:val="0"/>
          <w:marTop w:val="0"/>
          <w:marBottom w:val="0"/>
          <w:divBdr>
            <w:top w:val="none" w:sz="0" w:space="0" w:color="auto"/>
            <w:left w:val="none" w:sz="0" w:space="0" w:color="auto"/>
            <w:bottom w:val="none" w:sz="0" w:space="0" w:color="auto"/>
            <w:right w:val="none" w:sz="0" w:space="0" w:color="auto"/>
          </w:divBdr>
        </w:div>
        <w:div w:id="634801033">
          <w:marLeft w:val="0"/>
          <w:marRight w:val="0"/>
          <w:marTop w:val="0"/>
          <w:marBottom w:val="0"/>
          <w:divBdr>
            <w:top w:val="none" w:sz="0" w:space="0" w:color="auto"/>
            <w:left w:val="none" w:sz="0" w:space="0" w:color="auto"/>
            <w:bottom w:val="none" w:sz="0" w:space="0" w:color="auto"/>
            <w:right w:val="none" w:sz="0" w:space="0" w:color="auto"/>
          </w:divBdr>
        </w:div>
        <w:div w:id="1589002151">
          <w:marLeft w:val="0"/>
          <w:marRight w:val="0"/>
          <w:marTop w:val="0"/>
          <w:marBottom w:val="0"/>
          <w:divBdr>
            <w:top w:val="none" w:sz="0" w:space="0" w:color="auto"/>
            <w:left w:val="none" w:sz="0" w:space="0" w:color="auto"/>
            <w:bottom w:val="none" w:sz="0" w:space="0" w:color="auto"/>
            <w:right w:val="none" w:sz="0" w:space="0" w:color="auto"/>
          </w:divBdr>
        </w:div>
        <w:div w:id="573665729">
          <w:marLeft w:val="0"/>
          <w:marRight w:val="0"/>
          <w:marTop w:val="0"/>
          <w:marBottom w:val="0"/>
          <w:divBdr>
            <w:top w:val="none" w:sz="0" w:space="0" w:color="auto"/>
            <w:left w:val="none" w:sz="0" w:space="0" w:color="auto"/>
            <w:bottom w:val="none" w:sz="0" w:space="0" w:color="auto"/>
            <w:right w:val="none" w:sz="0" w:space="0" w:color="auto"/>
          </w:divBdr>
        </w:div>
        <w:div w:id="545142754">
          <w:marLeft w:val="0"/>
          <w:marRight w:val="0"/>
          <w:marTop w:val="0"/>
          <w:marBottom w:val="0"/>
          <w:divBdr>
            <w:top w:val="none" w:sz="0" w:space="0" w:color="auto"/>
            <w:left w:val="none" w:sz="0" w:space="0" w:color="auto"/>
            <w:bottom w:val="none" w:sz="0" w:space="0" w:color="auto"/>
            <w:right w:val="none" w:sz="0" w:space="0" w:color="auto"/>
          </w:divBdr>
        </w:div>
      </w:divsChild>
    </w:div>
    <w:div w:id="497965456">
      <w:bodyDiv w:val="1"/>
      <w:marLeft w:val="0"/>
      <w:marRight w:val="0"/>
      <w:marTop w:val="0"/>
      <w:marBottom w:val="0"/>
      <w:divBdr>
        <w:top w:val="none" w:sz="0" w:space="0" w:color="auto"/>
        <w:left w:val="none" w:sz="0" w:space="0" w:color="auto"/>
        <w:bottom w:val="none" w:sz="0" w:space="0" w:color="auto"/>
        <w:right w:val="none" w:sz="0" w:space="0" w:color="auto"/>
      </w:divBdr>
      <w:divsChild>
        <w:div w:id="942372884">
          <w:marLeft w:val="0"/>
          <w:marRight w:val="0"/>
          <w:marTop w:val="0"/>
          <w:marBottom w:val="0"/>
          <w:divBdr>
            <w:top w:val="none" w:sz="0" w:space="0" w:color="auto"/>
            <w:left w:val="none" w:sz="0" w:space="0" w:color="auto"/>
            <w:bottom w:val="none" w:sz="0" w:space="0" w:color="auto"/>
            <w:right w:val="none" w:sz="0" w:space="0" w:color="auto"/>
          </w:divBdr>
        </w:div>
        <w:div w:id="817065725">
          <w:marLeft w:val="0"/>
          <w:marRight w:val="0"/>
          <w:marTop w:val="0"/>
          <w:marBottom w:val="0"/>
          <w:divBdr>
            <w:top w:val="none" w:sz="0" w:space="0" w:color="auto"/>
            <w:left w:val="none" w:sz="0" w:space="0" w:color="auto"/>
            <w:bottom w:val="none" w:sz="0" w:space="0" w:color="auto"/>
            <w:right w:val="none" w:sz="0" w:space="0" w:color="auto"/>
          </w:divBdr>
        </w:div>
        <w:div w:id="842478618">
          <w:marLeft w:val="0"/>
          <w:marRight w:val="0"/>
          <w:marTop w:val="0"/>
          <w:marBottom w:val="0"/>
          <w:divBdr>
            <w:top w:val="none" w:sz="0" w:space="0" w:color="auto"/>
            <w:left w:val="none" w:sz="0" w:space="0" w:color="auto"/>
            <w:bottom w:val="none" w:sz="0" w:space="0" w:color="auto"/>
            <w:right w:val="none" w:sz="0" w:space="0" w:color="auto"/>
          </w:divBdr>
        </w:div>
        <w:div w:id="1891959904">
          <w:marLeft w:val="0"/>
          <w:marRight w:val="0"/>
          <w:marTop w:val="0"/>
          <w:marBottom w:val="0"/>
          <w:divBdr>
            <w:top w:val="none" w:sz="0" w:space="0" w:color="auto"/>
            <w:left w:val="none" w:sz="0" w:space="0" w:color="auto"/>
            <w:bottom w:val="none" w:sz="0" w:space="0" w:color="auto"/>
            <w:right w:val="none" w:sz="0" w:space="0" w:color="auto"/>
          </w:divBdr>
        </w:div>
        <w:div w:id="51316188">
          <w:marLeft w:val="0"/>
          <w:marRight w:val="0"/>
          <w:marTop w:val="0"/>
          <w:marBottom w:val="0"/>
          <w:divBdr>
            <w:top w:val="none" w:sz="0" w:space="0" w:color="auto"/>
            <w:left w:val="none" w:sz="0" w:space="0" w:color="auto"/>
            <w:bottom w:val="none" w:sz="0" w:space="0" w:color="auto"/>
            <w:right w:val="none" w:sz="0" w:space="0" w:color="auto"/>
          </w:divBdr>
        </w:div>
      </w:divsChild>
    </w:div>
    <w:div w:id="633753449">
      <w:bodyDiv w:val="1"/>
      <w:marLeft w:val="0"/>
      <w:marRight w:val="0"/>
      <w:marTop w:val="0"/>
      <w:marBottom w:val="0"/>
      <w:divBdr>
        <w:top w:val="none" w:sz="0" w:space="0" w:color="auto"/>
        <w:left w:val="none" w:sz="0" w:space="0" w:color="auto"/>
        <w:bottom w:val="none" w:sz="0" w:space="0" w:color="auto"/>
        <w:right w:val="none" w:sz="0" w:space="0" w:color="auto"/>
      </w:divBdr>
      <w:divsChild>
        <w:div w:id="327489055">
          <w:marLeft w:val="0"/>
          <w:marRight w:val="0"/>
          <w:marTop w:val="0"/>
          <w:marBottom w:val="0"/>
          <w:divBdr>
            <w:top w:val="none" w:sz="0" w:space="0" w:color="auto"/>
            <w:left w:val="none" w:sz="0" w:space="0" w:color="auto"/>
            <w:bottom w:val="none" w:sz="0" w:space="0" w:color="auto"/>
            <w:right w:val="none" w:sz="0" w:space="0" w:color="auto"/>
          </w:divBdr>
        </w:div>
        <w:div w:id="1117600450">
          <w:marLeft w:val="0"/>
          <w:marRight w:val="0"/>
          <w:marTop w:val="0"/>
          <w:marBottom w:val="0"/>
          <w:divBdr>
            <w:top w:val="none" w:sz="0" w:space="0" w:color="auto"/>
            <w:left w:val="none" w:sz="0" w:space="0" w:color="auto"/>
            <w:bottom w:val="none" w:sz="0" w:space="0" w:color="auto"/>
            <w:right w:val="none" w:sz="0" w:space="0" w:color="auto"/>
          </w:divBdr>
        </w:div>
        <w:div w:id="712003066">
          <w:marLeft w:val="0"/>
          <w:marRight w:val="0"/>
          <w:marTop w:val="0"/>
          <w:marBottom w:val="0"/>
          <w:divBdr>
            <w:top w:val="none" w:sz="0" w:space="0" w:color="auto"/>
            <w:left w:val="none" w:sz="0" w:space="0" w:color="auto"/>
            <w:bottom w:val="none" w:sz="0" w:space="0" w:color="auto"/>
            <w:right w:val="none" w:sz="0" w:space="0" w:color="auto"/>
          </w:divBdr>
        </w:div>
        <w:div w:id="1332563187">
          <w:marLeft w:val="0"/>
          <w:marRight w:val="0"/>
          <w:marTop w:val="0"/>
          <w:marBottom w:val="0"/>
          <w:divBdr>
            <w:top w:val="none" w:sz="0" w:space="0" w:color="auto"/>
            <w:left w:val="none" w:sz="0" w:space="0" w:color="auto"/>
            <w:bottom w:val="none" w:sz="0" w:space="0" w:color="auto"/>
            <w:right w:val="none" w:sz="0" w:space="0" w:color="auto"/>
          </w:divBdr>
        </w:div>
        <w:div w:id="1370229601">
          <w:marLeft w:val="0"/>
          <w:marRight w:val="0"/>
          <w:marTop w:val="0"/>
          <w:marBottom w:val="0"/>
          <w:divBdr>
            <w:top w:val="none" w:sz="0" w:space="0" w:color="auto"/>
            <w:left w:val="none" w:sz="0" w:space="0" w:color="auto"/>
            <w:bottom w:val="none" w:sz="0" w:space="0" w:color="auto"/>
            <w:right w:val="none" w:sz="0" w:space="0" w:color="auto"/>
          </w:divBdr>
        </w:div>
        <w:div w:id="2108696572">
          <w:marLeft w:val="0"/>
          <w:marRight w:val="0"/>
          <w:marTop w:val="0"/>
          <w:marBottom w:val="0"/>
          <w:divBdr>
            <w:top w:val="none" w:sz="0" w:space="0" w:color="auto"/>
            <w:left w:val="none" w:sz="0" w:space="0" w:color="auto"/>
            <w:bottom w:val="none" w:sz="0" w:space="0" w:color="auto"/>
            <w:right w:val="none" w:sz="0" w:space="0" w:color="auto"/>
          </w:divBdr>
        </w:div>
        <w:div w:id="1340548069">
          <w:marLeft w:val="0"/>
          <w:marRight w:val="0"/>
          <w:marTop w:val="0"/>
          <w:marBottom w:val="0"/>
          <w:divBdr>
            <w:top w:val="none" w:sz="0" w:space="0" w:color="auto"/>
            <w:left w:val="none" w:sz="0" w:space="0" w:color="auto"/>
            <w:bottom w:val="none" w:sz="0" w:space="0" w:color="auto"/>
            <w:right w:val="none" w:sz="0" w:space="0" w:color="auto"/>
          </w:divBdr>
        </w:div>
      </w:divsChild>
    </w:div>
    <w:div w:id="643200944">
      <w:bodyDiv w:val="1"/>
      <w:marLeft w:val="0"/>
      <w:marRight w:val="0"/>
      <w:marTop w:val="0"/>
      <w:marBottom w:val="0"/>
      <w:divBdr>
        <w:top w:val="none" w:sz="0" w:space="0" w:color="auto"/>
        <w:left w:val="none" w:sz="0" w:space="0" w:color="auto"/>
        <w:bottom w:val="none" w:sz="0" w:space="0" w:color="auto"/>
        <w:right w:val="none" w:sz="0" w:space="0" w:color="auto"/>
      </w:divBdr>
      <w:divsChild>
        <w:div w:id="746339459">
          <w:marLeft w:val="0"/>
          <w:marRight w:val="0"/>
          <w:marTop w:val="0"/>
          <w:marBottom w:val="0"/>
          <w:divBdr>
            <w:top w:val="none" w:sz="0" w:space="0" w:color="auto"/>
            <w:left w:val="none" w:sz="0" w:space="0" w:color="auto"/>
            <w:bottom w:val="none" w:sz="0" w:space="0" w:color="auto"/>
            <w:right w:val="none" w:sz="0" w:space="0" w:color="auto"/>
          </w:divBdr>
        </w:div>
        <w:div w:id="748574892">
          <w:marLeft w:val="0"/>
          <w:marRight w:val="0"/>
          <w:marTop w:val="0"/>
          <w:marBottom w:val="0"/>
          <w:divBdr>
            <w:top w:val="none" w:sz="0" w:space="0" w:color="auto"/>
            <w:left w:val="none" w:sz="0" w:space="0" w:color="auto"/>
            <w:bottom w:val="none" w:sz="0" w:space="0" w:color="auto"/>
            <w:right w:val="none" w:sz="0" w:space="0" w:color="auto"/>
          </w:divBdr>
        </w:div>
        <w:div w:id="1516993879">
          <w:marLeft w:val="0"/>
          <w:marRight w:val="0"/>
          <w:marTop w:val="0"/>
          <w:marBottom w:val="0"/>
          <w:divBdr>
            <w:top w:val="none" w:sz="0" w:space="0" w:color="auto"/>
            <w:left w:val="none" w:sz="0" w:space="0" w:color="auto"/>
            <w:bottom w:val="none" w:sz="0" w:space="0" w:color="auto"/>
            <w:right w:val="none" w:sz="0" w:space="0" w:color="auto"/>
          </w:divBdr>
        </w:div>
      </w:divsChild>
    </w:div>
    <w:div w:id="686253447">
      <w:bodyDiv w:val="1"/>
      <w:marLeft w:val="0"/>
      <w:marRight w:val="0"/>
      <w:marTop w:val="0"/>
      <w:marBottom w:val="0"/>
      <w:divBdr>
        <w:top w:val="none" w:sz="0" w:space="0" w:color="auto"/>
        <w:left w:val="none" w:sz="0" w:space="0" w:color="auto"/>
        <w:bottom w:val="none" w:sz="0" w:space="0" w:color="auto"/>
        <w:right w:val="none" w:sz="0" w:space="0" w:color="auto"/>
      </w:divBdr>
      <w:divsChild>
        <w:div w:id="2106461596">
          <w:marLeft w:val="0"/>
          <w:marRight w:val="0"/>
          <w:marTop w:val="0"/>
          <w:marBottom w:val="0"/>
          <w:divBdr>
            <w:top w:val="none" w:sz="0" w:space="0" w:color="auto"/>
            <w:left w:val="none" w:sz="0" w:space="0" w:color="auto"/>
            <w:bottom w:val="none" w:sz="0" w:space="0" w:color="auto"/>
            <w:right w:val="none" w:sz="0" w:space="0" w:color="auto"/>
          </w:divBdr>
        </w:div>
        <w:div w:id="579758968">
          <w:marLeft w:val="0"/>
          <w:marRight w:val="0"/>
          <w:marTop w:val="0"/>
          <w:marBottom w:val="0"/>
          <w:divBdr>
            <w:top w:val="none" w:sz="0" w:space="0" w:color="auto"/>
            <w:left w:val="none" w:sz="0" w:space="0" w:color="auto"/>
            <w:bottom w:val="none" w:sz="0" w:space="0" w:color="auto"/>
            <w:right w:val="none" w:sz="0" w:space="0" w:color="auto"/>
          </w:divBdr>
        </w:div>
        <w:div w:id="180709400">
          <w:marLeft w:val="0"/>
          <w:marRight w:val="0"/>
          <w:marTop w:val="0"/>
          <w:marBottom w:val="0"/>
          <w:divBdr>
            <w:top w:val="none" w:sz="0" w:space="0" w:color="auto"/>
            <w:left w:val="none" w:sz="0" w:space="0" w:color="auto"/>
            <w:bottom w:val="none" w:sz="0" w:space="0" w:color="auto"/>
            <w:right w:val="none" w:sz="0" w:space="0" w:color="auto"/>
          </w:divBdr>
        </w:div>
        <w:div w:id="1046560642">
          <w:marLeft w:val="0"/>
          <w:marRight w:val="0"/>
          <w:marTop w:val="0"/>
          <w:marBottom w:val="0"/>
          <w:divBdr>
            <w:top w:val="none" w:sz="0" w:space="0" w:color="auto"/>
            <w:left w:val="none" w:sz="0" w:space="0" w:color="auto"/>
            <w:bottom w:val="none" w:sz="0" w:space="0" w:color="auto"/>
            <w:right w:val="none" w:sz="0" w:space="0" w:color="auto"/>
          </w:divBdr>
        </w:div>
        <w:div w:id="557790055">
          <w:marLeft w:val="0"/>
          <w:marRight w:val="0"/>
          <w:marTop w:val="0"/>
          <w:marBottom w:val="0"/>
          <w:divBdr>
            <w:top w:val="none" w:sz="0" w:space="0" w:color="auto"/>
            <w:left w:val="none" w:sz="0" w:space="0" w:color="auto"/>
            <w:bottom w:val="none" w:sz="0" w:space="0" w:color="auto"/>
            <w:right w:val="none" w:sz="0" w:space="0" w:color="auto"/>
          </w:divBdr>
        </w:div>
        <w:div w:id="1016494246">
          <w:marLeft w:val="0"/>
          <w:marRight w:val="0"/>
          <w:marTop w:val="0"/>
          <w:marBottom w:val="0"/>
          <w:divBdr>
            <w:top w:val="none" w:sz="0" w:space="0" w:color="auto"/>
            <w:left w:val="none" w:sz="0" w:space="0" w:color="auto"/>
            <w:bottom w:val="none" w:sz="0" w:space="0" w:color="auto"/>
            <w:right w:val="none" w:sz="0" w:space="0" w:color="auto"/>
          </w:divBdr>
        </w:div>
      </w:divsChild>
    </w:div>
    <w:div w:id="724328655">
      <w:bodyDiv w:val="1"/>
      <w:marLeft w:val="0"/>
      <w:marRight w:val="0"/>
      <w:marTop w:val="0"/>
      <w:marBottom w:val="0"/>
      <w:divBdr>
        <w:top w:val="none" w:sz="0" w:space="0" w:color="auto"/>
        <w:left w:val="none" w:sz="0" w:space="0" w:color="auto"/>
        <w:bottom w:val="none" w:sz="0" w:space="0" w:color="auto"/>
        <w:right w:val="none" w:sz="0" w:space="0" w:color="auto"/>
      </w:divBdr>
      <w:divsChild>
        <w:div w:id="2078162450">
          <w:marLeft w:val="0"/>
          <w:marRight w:val="0"/>
          <w:marTop w:val="0"/>
          <w:marBottom w:val="0"/>
          <w:divBdr>
            <w:top w:val="none" w:sz="0" w:space="0" w:color="auto"/>
            <w:left w:val="none" w:sz="0" w:space="0" w:color="auto"/>
            <w:bottom w:val="none" w:sz="0" w:space="0" w:color="auto"/>
            <w:right w:val="none" w:sz="0" w:space="0" w:color="auto"/>
          </w:divBdr>
        </w:div>
        <w:div w:id="1291278378">
          <w:marLeft w:val="0"/>
          <w:marRight w:val="0"/>
          <w:marTop w:val="0"/>
          <w:marBottom w:val="0"/>
          <w:divBdr>
            <w:top w:val="none" w:sz="0" w:space="0" w:color="auto"/>
            <w:left w:val="none" w:sz="0" w:space="0" w:color="auto"/>
            <w:bottom w:val="none" w:sz="0" w:space="0" w:color="auto"/>
            <w:right w:val="none" w:sz="0" w:space="0" w:color="auto"/>
          </w:divBdr>
        </w:div>
        <w:div w:id="2134209102">
          <w:marLeft w:val="0"/>
          <w:marRight w:val="0"/>
          <w:marTop w:val="0"/>
          <w:marBottom w:val="0"/>
          <w:divBdr>
            <w:top w:val="none" w:sz="0" w:space="0" w:color="auto"/>
            <w:left w:val="none" w:sz="0" w:space="0" w:color="auto"/>
            <w:bottom w:val="none" w:sz="0" w:space="0" w:color="auto"/>
            <w:right w:val="none" w:sz="0" w:space="0" w:color="auto"/>
          </w:divBdr>
        </w:div>
        <w:div w:id="335613951">
          <w:marLeft w:val="0"/>
          <w:marRight w:val="0"/>
          <w:marTop w:val="0"/>
          <w:marBottom w:val="0"/>
          <w:divBdr>
            <w:top w:val="none" w:sz="0" w:space="0" w:color="auto"/>
            <w:left w:val="none" w:sz="0" w:space="0" w:color="auto"/>
            <w:bottom w:val="none" w:sz="0" w:space="0" w:color="auto"/>
            <w:right w:val="none" w:sz="0" w:space="0" w:color="auto"/>
          </w:divBdr>
        </w:div>
        <w:div w:id="779029907">
          <w:marLeft w:val="0"/>
          <w:marRight w:val="0"/>
          <w:marTop w:val="0"/>
          <w:marBottom w:val="0"/>
          <w:divBdr>
            <w:top w:val="none" w:sz="0" w:space="0" w:color="auto"/>
            <w:left w:val="none" w:sz="0" w:space="0" w:color="auto"/>
            <w:bottom w:val="none" w:sz="0" w:space="0" w:color="auto"/>
            <w:right w:val="none" w:sz="0" w:space="0" w:color="auto"/>
          </w:divBdr>
        </w:div>
      </w:divsChild>
    </w:div>
    <w:div w:id="1008948198">
      <w:bodyDiv w:val="1"/>
      <w:marLeft w:val="0"/>
      <w:marRight w:val="0"/>
      <w:marTop w:val="0"/>
      <w:marBottom w:val="0"/>
      <w:divBdr>
        <w:top w:val="none" w:sz="0" w:space="0" w:color="auto"/>
        <w:left w:val="none" w:sz="0" w:space="0" w:color="auto"/>
        <w:bottom w:val="none" w:sz="0" w:space="0" w:color="auto"/>
        <w:right w:val="none" w:sz="0" w:space="0" w:color="auto"/>
      </w:divBdr>
      <w:divsChild>
        <w:div w:id="1928881417">
          <w:marLeft w:val="0"/>
          <w:marRight w:val="0"/>
          <w:marTop w:val="0"/>
          <w:marBottom w:val="0"/>
          <w:divBdr>
            <w:top w:val="none" w:sz="0" w:space="0" w:color="auto"/>
            <w:left w:val="none" w:sz="0" w:space="0" w:color="auto"/>
            <w:bottom w:val="none" w:sz="0" w:space="0" w:color="auto"/>
            <w:right w:val="none" w:sz="0" w:space="0" w:color="auto"/>
          </w:divBdr>
        </w:div>
        <w:div w:id="578100142">
          <w:marLeft w:val="0"/>
          <w:marRight w:val="0"/>
          <w:marTop w:val="0"/>
          <w:marBottom w:val="0"/>
          <w:divBdr>
            <w:top w:val="none" w:sz="0" w:space="0" w:color="auto"/>
            <w:left w:val="none" w:sz="0" w:space="0" w:color="auto"/>
            <w:bottom w:val="none" w:sz="0" w:space="0" w:color="auto"/>
            <w:right w:val="none" w:sz="0" w:space="0" w:color="auto"/>
          </w:divBdr>
        </w:div>
        <w:div w:id="2023050182">
          <w:marLeft w:val="0"/>
          <w:marRight w:val="0"/>
          <w:marTop w:val="0"/>
          <w:marBottom w:val="0"/>
          <w:divBdr>
            <w:top w:val="none" w:sz="0" w:space="0" w:color="auto"/>
            <w:left w:val="none" w:sz="0" w:space="0" w:color="auto"/>
            <w:bottom w:val="none" w:sz="0" w:space="0" w:color="auto"/>
            <w:right w:val="none" w:sz="0" w:space="0" w:color="auto"/>
          </w:divBdr>
        </w:div>
        <w:div w:id="1766464324">
          <w:marLeft w:val="0"/>
          <w:marRight w:val="0"/>
          <w:marTop w:val="0"/>
          <w:marBottom w:val="0"/>
          <w:divBdr>
            <w:top w:val="none" w:sz="0" w:space="0" w:color="auto"/>
            <w:left w:val="none" w:sz="0" w:space="0" w:color="auto"/>
            <w:bottom w:val="none" w:sz="0" w:space="0" w:color="auto"/>
            <w:right w:val="none" w:sz="0" w:space="0" w:color="auto"/>
          </w:divBdr>
        </w:div>
        <w:div w:id="980304436">
          <w:marLeft w:val="0"/>
          <w:marRight w:val="0"/>
          <w:marTop w:val="0"/>
          <w:marBottom w:val="0"/>
          <w:divBdr>
            <w:top w:val="none" w:sz="0" w:space="0" w:color="auto"/>
            <w:left w:val="none" w:sz="0" w:space="0" w:color="auto"/>
            <w:bottom w:val="none" w:sz="0" w:space="0" w:color="auto"/>
            <w:right w:val="none" w:sz="0" w:space="0" w:color="auto"/>
          </w:divBdr>
        </w:div>
      </w:divsChild>
    </w:div>
    <w:div w:id="1013725583">
      <w:bodyDiv w:val="1"/>
      <w:marLeft w:val="0"/>
      <w:marRight w:val="0"/>
      <w:marTop w:val="0"/>
      <w:marBottom w:val="0"/>
      <w:divBdr>
        <w:top w:val="none" w:sz="0" w:space="0" w:color="auto"/>
        <w:left w:val="none" w:sz="0" w:space="0" w:color="auto"/>
        <w:bottom w:val="none" w:sz="0" w:space="0" w:color="auto"/>
        <w:right w:val="none" w:sz="0" w:space="0" w:color="auto"/>
      </w:divBdr>
      <w:divsChild>
        <w:div w:id="208883700">
          <w:marLeft w:val="0"/>
          <w:marRight w:val="0"/>
          <w:marTop w:val="0"/>
          <w:marBottom w:val="0"/>
          <w:divBdr>
            <w:top w:val="none" w:sz="0" w:space="0" w:color="auto"/>
            <w:left w:val="none" w:sz="0" w:space="0" w:color="auto"/>
            <w:bottom w:val="none" w:sz="0" w:space="0" w:color="auto"/>
            <w:right w:val="none" w:sz="0" w:space="0" w:color="auto"/>
          </w:divBdr>
        </w:div>
        <w:div w:id="1537621576">
          <w:marLeft w:val="0"/>
          <w:marRight w:val="0"/>
          <w:marTop w:val="0"/>
          <w:marBottom w:val="0"/>
          <w:divBdr>
            <w:top w:val="none" w:sz="0" w:space="0" w:color="auto"/>
            <w:left w:val="none" w:sz="0" w:space="0" w:color="auto"/>
            <w:bottom w:val="none" w:sz="0" w:space="0" w:color="auto"/>
            <w:right w:val="none" w:sz="0" w:space="0" w:color="auto"/>
          </w:divBdr>
        </w:div>
        <w:div w:id="1258557616">
          <w:marLeft w:val="0"/>
          <w:marRight w:val="0"/>
          <w:marTop w:val="0"/>
          <w:marBottom w:val="0"/>
          <w:divBdr>
            <w:top w:val="none" w:sz="0" w:space="0" w:color="auto"/>
            <w:left w:val="none" w:sz="0" w:space="0" w:color="auto"/>
            <w:bottom w:val="none" w:sz="0" w:space="0" w:color="auto"/>
            <w:right w:val="none" w:sz="0" w:space="0" w:color="auto"/>
          </w:divBdr>
        </w:div>
        <w:div w:id="1070350994">
          <w:marLeft w:val="0"/>
          <w:marRight w:val="0"/>
          <w:marTop w:val="0"/>
          <w:marBottom w:val="0"/>
          <w:divBdr>
            <w:top w:val="none" w:sz="0" w:space="0" w:color="auto"/>
            <w:left w:val="none" w:sz="0" w:space="0" w:color="auto"/>
            <w:bottom w:val="none" w:sz="0" w:space="0" w:color="auto"/>
            <w:right w:val="none" w:sz="0" w:space="0" w:color="auto"/>
          </w:divBdr>
        </w:div>
        <w:div w:id="114980928">
          <w:marLeft w:val="0"/>
          <w:marRight w:val="0"/>
          <w:marTop w:val="0"/>
          <w:marBottom w:val="0"/>
          <w:divBdr>
            <w:top w:val="none" w:sz="0" w:space="0" w:color="auto"/>
            <w:left w:val="none" w:sz="0" w:space="0" w:color="auto"/>
            <w:bottom w:val="none" w:sz="0" w:space="0" w:color="auto"/>
            <w:right w:val="none" w:sz="0" w:space="0" w:color="auto"/>
          </w:divBdr>
        </w:div>
      </w:divsChild>
    </w:div>
    <w:div w:id="1022124476">
      <w:bodyDiv w:val="1"/>
      <w:marLeft w:val="0"/>
      <w:marRight w:val="0"/>
      <w:marTop w:val="0"/>
      <w:marBottom w:val="0"/>
      <w:divBdr>
        <w:top w:val="none" w:sz="0" w:space="0" w:color="auto"/>
        <w:left w:val="none" w:sz="0" w:space="0" w:color="auto"/>
        <w:bottom w:val="none" w:sz="0" w:space="0" w:color="auto"/>
        <w:right w:val="none" w:sz="0" w:space="0" w:color="auto"/>
      </w:divBdr>
      <w:divsChild>
        <w:div w:id="1683622460">
          <w:marLeft w:val="0"/>
          <w:marRight w:val="0"/>
          <w:marTop w:val="0"/>
          <w:marBottom w:val="0"/>
          <w:divBdr>
            <w:top w:val="none" w:sz="0" w:space="0" w:color="auto"/>
            <w:left w:val="none" w:sz="0" w:space="0" w:color="auto"/>
            <w:bottom w:val="none" w:sz="0" w:space="0" w:color="auto"/>
            <w:right w:val="none" w:sz="0" w:space="0" w:color="auto"/>
          </w:divBdr>
        </w:div>
        <w:div w:id="787775138">
          <w:marLeft w:val="0"/>
          <w:marRight w:val="0"/>
          <w:marTop w:val="0"/>
          <w:marBottom w:val="0"/>
          <w:divBdr>
            <w:top w:val="none" w:sz="0" w:space="0" w:color="auto"/>
            <w:left w:val="none" w:sz="0" w:space="0" w:color="auto"/>
            <w:bottom w:val="none" w:sz="0" w:space="0" w:color="auto"/>
            <w:right w:val="none" w:sz="0" w:space="0" w:color="auto"/>
          </w:divBdr>
        </w:div>
        <w:div w:id="118568912">
          <w:marLeft w:val="0"/>
          <w:marRight w:val="0"/>
          <w:marTop w:val="0"/>
          <w:marBottom w:val="0"/>
          <w:divBdr>
            <w:top w:val="none" w:sz="0" w:space="0" w:color="auto"/>
            <w:left w:val="none" w:sz="0" w:space="0" w:color="auto"/>
            <w:bottom w:val="none" w:sz="0" w:space="0" w:color="auto"/>
            <w:right w:val="none" w:sz="0" w:space="0" w:color="auto"/>
          </w:divBdr>
        </w:div>
        <w:div w:id="1184897341">
          <w:marLeft w:val="0"/>
          <w:marRight w:val="0"/>
          <w:marTop w:val="0"/>
          <w:marBottom w:val="0"/>
          <w:divBdr>
            <w:top w:val="none" w:sz="0" w:space="0" w:color="auto"/>
            <w:left w:val="none" w:sz="0" w:space="0" w:color="auto"/>
            <w:bottom w:val="none" w:sz="0" w:space="0" w:color="auto"/>
            <w:right w:val="none" w:sz="0" w:space="0" w:color="auto"/>
          </w:divBdr>
        </w:div>
        <w:div w:id="1144153053">
          <w:marLeft w:val="0"/>
          <w:marRight w:val="0"/>
          <w:marTop w:val="0"/>
          <w:marBottom w:val="0"/>
          <w:divBdr>
            <w:top w:val="none" w:sz="0" w:space="0" w:color="auto"/>
            <w:left w:val="none" w:sz="0" w:space="0" w:color="auto"/>
            <w:bottom w:val="none" w:sz="0" w:space="0" w:color="auto"/>
            <w:right w:val="none" w:sz="0" w:space="0" w:color="auto"/>
          </w:divBdr>
        </w:div>
        <w:div w:id="324169560">
          <w:marLeft w:val="0"/>
          <w:marRight w:val="0"/>
          <w:marTop w:val="0"/>
          <w:marBottom w:val="0"/>
          <w:divBdr>
            <w:top w:val="none" w:sz="0" w:space="0" w:color="auto"/>
            <w:left w:val="none" w:sz="0" w:space="0" w:color="auto"/>
            <w:bottom w:val="none" w:sz="0" w:space="0" w:color="auto"/>
            <w:right w:val="none" w:sz="0" w:space="0" w:color="auto"/>
          </w:divBdr>
        </w:div>
        <w:div w:id="647785035">
          <w:marLeft w:val="0"/>
          <w:marRight w:val="0"/>
          <w:marTop w:val="0"/>
          <w:marBottom w:val="0"/>
          <w:divBdr>
            <w:top w:val="none" w:sz="0" w:space="0" w:color="auto"/>
            <w:left w:val="none" w:sz="0" w:space="0" w:color="auto"/>
            <w:bottom w:val="none" w:sz="0" w:space="0" w:color="auto"/>
            <w:right w:val="none" w:sz="0" w:space="0" w:color="auto"/>
          </w:divBdr>
        </w:div>
      </w:divsChild>
    </w:div>
    <w:div w:id="108687737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23">
          <w:marLeft w:val="0"/>
          <w:marRight w:val="0"/>
          <w:marTop w:val="0"/>
          <w:marBottom w:val="0"/>
          <w:divBdr>
            <w:top w:val="none" w:sz="0" w:space="0" w:color="auto"/>
            <w:left w:val="none" w:sz="0" w:space="0" w:color="auto"/>
            <w:bottom w:val="none" w:sz="0" w:space="0" w:color="auto"/>
            <w:right w:val="none" w:sz="0" w:space="0" w:color="auto"/>
          </w:divBdr>
        </w:div>
        <w:div w:id="159203364">
          <w:marLeft w:val="0"/>
          <w:marRight w:val="0"/>
          <w:marTop w:val="0"/>
          <w:marBottom w:val="0"/>
          <w:divBdr>
            <w:top w:val="none" w:sz="0" w:space="0" w:color="auto"/>
            <w:left w:val="none" w:sz="0" w:space="0" w:color="auto"/>
            <w:bottom w:val="none" w:sz="0" w:space="0" w:color="auto"/>
            <w:right w:val="none" w:sz="0" w:space="0" w:color="auto"/>
          </w:divBdr>
        </w:div>
        <w:div w:id="91315786">
          <w:marLeft w:val="0"/>
          <w:marRight w:val="0"/>
          <w:marTop w:val="0"/>
          <w:marBottom w:val="0"/>
          <w:divBdr>
            <w:top w:val="none" w:sz="0" w:space="0" w:color="auto"/>
            <w:left w:val="none" w:sz="0" w:space="0" w:color="auto"/>
            <w:bottom w:val="none" w:sz="0" w:space="0" w:color="auto"/>
            <w:right w:val="none" w:sz="0" w:space="0" w:color="auto"/>
          </w:divBdr>
        </w:div>
        <w:div w:id="1836650199">
          <w:marLeft w:val="0"/>
          <w:marRight w:val="0"/>
          <w:marTop w:val="0"/>
          <w:marBottom w:val="0"/>
          <w:divBdr>
            <w:top w:val="none" w:sz="0" w:space="0" w:color="auto"/>
            <w:left w:val="none" w:sz="0" w:space="0" w:color="auto"/>
            <w:bottom w:val="none" w:sz="0" w:space="0" w:color="auto"/>
            <w:right w:val="none" w:sz="0" w:space="0" w:color="auto"/>
          </w:divBdr>
        </w:div>
        <w:div w:id="2106459437">
          <w:marLeft w:val="0"/>
          <w:marRight w:val="0"/>
          <w:marTop w:val="0"/>
          <w:marBottom w:val="0"/>
          <w:divBdr>
            <w:top w:val="none" w:sz="0" w:space="0" w:color="auto"/>
            <w:left w:val="none" w:sz="0" w:space="0" w:color="auto"/>
            <w:bottom w:val="none" w:sz="0" w:space="0" w:color="auto"/>
            <w:right w:val="none" w:sz="0" w:space="0" w:color="auto"/>
          </w:divBdr>
        </w:div>
        <w:div w:id="1093668021">
          <w:marLeft w:val="0"/>
          <w:marRight w:val="0"/>
          <w:marTop w:val="0"/>
          <w:marBottom w:val="0"/>
          <w:divBdr>
            <w:top w:val="none" w:sz="0" w:space="0" w:color="auto"/>
            <w:left w:val="none" w:sz="0" w:space="0" w:color="auto"/>
            <w:bottom w:val="none" w:sz="0" w:space="0" w:color="auto"/>
            <w:right w:val="none" w:sz="0" w:space="0" w:color="auto"/>
          </w:divBdr>
        </w:div>
        <w:div w:id="1008681796">
          <w:marLeft w:val="0"/>
          <w:marRight w:val="0"/>
          <w:marTop w:val="0"/>
          <w:marBottom w:val="0"/>
          <w:divBdr>
            <w:top w:val="none" w:sz="0" w:space="0" w:color="auto"/>
            <w:left w:val="none" w:sz="0" w:space="0" w:color="auto"/>
            <w:bottom w:val="none" w:sz="0" w:space="0" w:color="auto"/>
            <w:right w:val="none" w:sz="0" w:space="0" w:color="auto"/>
          </w:divBdr>
        </w:div>
      </w:divsChild>
    </w:div>
    <w:div w:id="1139497567">
      <w:bodyDiv w:val="1"/>
      <w:marLeft w:val="0"/>
      <w:marRight w:val="0"/>
      <w:marTop w:val="0"/>
      <w:marBottom w:val="0"/>
      <w:divBdr>
        <w:top w:val="none" w:sz="0" w:space="0" w:color="auto"/>
        <w:left w:val="none" w:sz="0" w:space="0" w:color="auto"/>
        <w:bottom w:val="none" w:sz="0" w:space="0" w:color="auto"/>
        <w:right w:val="none" w:sz="0" w:space="0" w:color="auto"/>
      </w:divBdr>
      <w:divsChild>
        <w:div w:id="1472746744">
          <w:marLeft w:val="0"/>
          <w:marRight w:val="0"/>
          <w:marTop w:val="0"/>
          <w:marBottom w:val="0"/>
          <w:divBdr>
            <w:top w:val="none" w:sz="0" w:space="0" w:color="auto"/>
            <w:left w:val="none" w:sz="0" w:space="0" w:color="auto"/>
            <w:bottom w:val="none" w:sz="0" w:space="0" w:color="auto"/>
            <w:right w:val="none" w:sz="0" w:space="0" w:color="auto"/>
          </w:divBdr>
        </w:div>
        <w:div w:id="1578636564">
          <w:marLeft w:val="0"/>
          <w:marRight w:val="0"/>
          <w:marTop w:val="0"/>
          <w:marBottom w:val="0"/>
          <w:divBdr>
            <w:top w:val="none" w:sz="0" w:space="0" w:color="auto"/>
            <w:left w:val="none" w:sz="0" w:space="0" w:color="auto"/>
            <w:bottom w:val="none" w:sz="0" w:space="0" w:color="auto"/>
            <w:right w:val="none" w:sz="0" w:space="0" w:color="auto"/>
          </w:divBdr>
        </w:div>
        <w:div w:id="456684938">
          <w:marLeft w:val="0"/>
          <w:marRight w:val="0"/>
          <w:marTop w:val="0"/>
          <w:marBottom w:val="0"/>
          <w:divBdr>
            <w:top w:val="none" w:sz="0" w:space="0" w:color="auto"/>
            <w:left w:val="none" w:sz="0" w:space="0" w:color="auto"/>
            <w:bottom w:val="none" w:sz="0" w:space="0" w:color="auto"/>
            <w:right w:val="none" w:sz="0" w:space="0" w:color="auto"/>
          </w:divBdr>
        </w:div>
        <w:div w:id="1166629354">
          <w:marLeft w:val="0"/>
          <w:marRight w:val="0"/>
          <w:marTop w:val="0"/>
          <w:marBottom w:val="0"/>
          <w:divBdr>
            <w:top w:val="none" w:sz="0" w:space="0" w:color="auto"/>
            <w:left w:val="none" w:sz="0" w:space="0" w:color="auto"/>
            <w:bottom w:val="none" w:sz="0" w:space="0" w:color="auto"/>
            <w:right w:val="none" w:sz="0" w:space="0" w:color="auto"/>
          </w:divBdr>
        </w:div>
        <w:div w:id="2102871286">
          <w:marLeft w:val="0"/>
          <w:marRight w:val="0"/>
          <w:marTop w:val="0"/>
          <w:marBottom w:val="0"/>
          <w:divBdr>
            <w:top w:val="none" w:sz="0" w:space="0" w:color="auto"/>
            <w:left w:val="none" w:sz="0" w:space="0" w:color="auto"/>
            <w:bottom w:val="none" w:sz="0" w:space="0" w:color="auto"/>
            <w:right w:val="none" w:sz="0" w:space="0" w:color="auto"/>
          </w:divBdr>
        </w:div>
        <w:div w:id="994069602">
          <w:marLeft w:val="0"/>
          <w:marRight w:val="0"/>
          <w:marTop w:val="0"/>
          <w:marBottom w:val="0"/>
          <w:divBdr>
            <w:top w:val="none" w:sz="0" w:space="0" w:color="auto"/>
            <w:left w:val="none" w:sz="0" w:space="0" w:color="auto"/>
            <w:bottom w:val="none" w:sz="0" w:space="0" w:color="auto"/>
            <w:right w:val="none" w:sz="0" w:space="0" w:color="auto"/>
          </w:divBdr>
        </w:div>
      </w:divsChild>
    </w:div>
    <w:div w:id="1160120404">
      <w:bodyDiv w:val="1"/>
      <w:marLeft w:val="0"/>
      <w:marRight w:val="0"/>
      <w:marTop w:val="0"/>
      <w:marBottom w:val="0"/>
      <w:divBdr>
        <w:top w:val="none" w:sz="0" w:space="0" w:color="auto"/>
        <w:left w:val="none" w:sz="0" w:space="0" w:color="auto"/>
        <w:bottom w:val="none" w:sz="0" w:space="0" w:color="auto"/>
        <w:right w:val="none" w:sz="0" w:space="0" w:color="auto"/>
      </w:divBdr>
      <w:divsChild>
        <w:div w:id="1350913190">
          <w:marLeft w:val="0"/>
          <w:marRight w:val="0"/>
          <w:marTop w:val="0"/>
          <w:marBottom w:val="0"/>
          <w:divBdr>
            <w:top w:val="none" w:sz="0" w:space="0" w:color="auto"/>
            <w:left w:val="none" w:sz="0" w:space="0" w:color="auto"/>
            <w:bottom w:val="none" w:sz="0" w:space="0" w:color="auto"/>
            <w:right w:val="none" w:sz="0" w:space="0" w:color="auto"/>
          </w:divBdr>
        </w:div>
        <w:div w:id="297879368">
          <w:marLeft w:val="0"/>
          <w:marRight w:val="0"/>
          <w:marTop w:val="0"/>
          <w:marBottom w:val="0"/>
          <w:divBdr>
            <w:top w:val="none" w:sz="0" w:space="0" w:color="auto"/>
            <w:left w:val="none" w:sz="0" w:space="0" w:color="auto"/>
            <w:bottom w:val="none" w:sz="0" w:space="0" w:color="auto"/>
            <w:right w:val="none" w:sz="0" w:space="0" w:color="auto"/>
          </w:divBdr>
        </w:div>
        <w:div w:id="2053458558">
          <w:marLeft w:val="0"/>
          <w:marRight w:val="0"/>
          <w:marTop w:val="0"/>
          <w:marBottom w:val="0"/>
          <w:divBdr>
            <w:top w:val="none" w:sz="0" w:space="0" w:color="auto"/>
            <w:left w:val="none" w:sz="0" w:space="0" w:color="auto"/>
            <w:bottom w:val="none" w:sz="0" w:space="0" w:color="auto"/>
            <w:right w:val="none" w:sz="0" w:space="0" w:color="auto"/>
          </w:divBdr>
        </w:div>
        <w:div w:id="619382055">
          <w:marLeft w:val="0"/>
          <w:marRight w:val="0"/>
          <w:marTop w:val="0"/>
          <w:marBottom w:val="0"/>
          <w:divBdr>
            <w:top w:val="none" w:sz="0" w:space="0" w:color="auto"/>
            <w:left w:val="none" w:sz="0" w:space="0" w:color="auto"/>
            <w:bottom w:val="none" w:sz="0" w:space="0" w:color="auto"/>
            <w:right w:val="none" w:sz="0" w:space="0" w:color="auto"/>
          </w:divBdr>
        </w:div>
        <w:div w:id="1115712198">
          <w:marLeft w:val="0"/>
          <w:marRight w:val="0"/>
          <w:marTop w:val="0"/>
          <w:marBottom w:val="0"/>
          <w:divBdr>
            <w:top w:val="none" w:sz="0" w:space="0" w:color="auto"/>
            <w:left w:val="none" w:sz="0" w:space="0" w:color="auto"/>
            <w:bottom w:val="none" w:sz="0" w:space="0" w:color="auto"/>
            <w:right w:val="none" w:sz="0" w:space="0" w:color="auto"/>
          </w:divBdr>
        </w:div>
      </w:divsChild>
    </w:div>
    <w:div w:id="1203053714">
      <w:bodyDiv w:val="1"/>
      <w:marLeft w:val="0"/>
      <w:marRight w:val="0"/>
      <w:marTop w:val="0"/>
      <w:marBottom w:val="0"/>
      <w:divBdr>
        <w:top w:val="none" w:sz="0" w:space="0" w:color="auto"/>
        <w:left w:val="none" w:sz="0" w:space="0" w:color="auto"/>
        <w:bottom w:val="none" w:sz="0" w:space="0" w:color="auto"/>
        <w:right w:val="none" w:sz="0" w:space="0" w:color="auto"/>
      </w:divBdr>
      <w:divsChild>
        <w:div w:id="414211492">
          <w:marLeft w:val="0"/>
          <w:marRight w:val="0"/>
          <w:marTop w:val="0"/>
          <w:marBottom w:val="0"/>
          <w:divBdr>
            <w:top w:val="none" w:sz="0" w:space="0" w:color="auto"/>
            <w:left w:val="none" w:sz="0" w:space="0" w:color="auto"/>
            <w:bottom w:val="none" w:sz="0" w:space="0" w:color="auto"/>
            <w:right w:val="none" w:sz="0" w:space="0" w:color="auto"/>
          </w:divBdr>
        </w:div>
        <w:div w:id="284653222">
          <w:marLeft w:val="0"/>
          <w:marRight w:val="0"/>
          <w:marTop w:val="0"/>
          <w:marBottom w:val="0"/>
          <w:divBdr>
            <w:top w:val="none" w:sz="0" w:space="0" w:color="auto"/>
            <w:left w:val="none" w:sz="0" w:space="0" w:color="auto"/>
            <w:bottom w:val="none" w:sz="0" w:space="0" w:color="auto"/>
            <w:right w:val="none" w:sz="0" w:space="0" w:color="auto"/>
          </w:divBdr>
        </w:div>
        <w:div w:id="2002807216">
          <w:marLeft w:val="0"/>
          <w:marRight w:val="0"/>
          <w:marTop w:val="0"/>
          <w:marBottom w:val="0"/>
          <w:divBdr>
            <w:top w:val="none" w:sz="0" w:space="0" w:color="auto"/>
            <w:left w:val="none" w:sz="0" w:space="0" w:color="auto"/>
            <w:bottom w:val="none" w:sz="0" w:space="0" w:color="auto"/>
            <w:right w:val="none" w:sz="0" w:space="0" w:color="auto"/>
          </w:divBdr>
        </w:div>
        <w:div w:id="1998224190">
          <w:marLeft w:val="0"/>
          <w:marRight w:val="0"/>
          <w:marTop w:val="0"/>
          <w:marBottom w:val="0"/>
          <w:divBdr>
            <w:top w:val="none" w:sz="0" w:space="0" w:color="auto"/>
            <w:left w:val="none" w:sz="0" w:space="0" w:color="auto"/>
            <w:bottom w:val="none" w:sz="0" w:space="0" w:color="auto"/>
            <w:right w:val="none" w:sz="0" w:space="0" w:color="auto"/>
          </w:divBdr>
        </w:div>
      </w:divsChild>
    </w:div>
    <w:div w:id="1222014208">
      <w:bodyDiv w:val="1"/>
      <w:marLeft w:val="0"/>
      <w:marRight w:val="0"/>
      <w:marTop w:val="0"/>
      <w:marBottom w:val="0"/>
      <w:divBdr>
        <w:top w:val="none" w:sz="0" w:space="0" w:color="auto"/>
        <w:left w:val="none" w:sz="0" w:space="0" w:color="auto"/>
        <w:bottom w:val="none" w:sz="0" w:space="0" w:color="auto"/>
        <w:right w:val="none" w:sz="0" w:space="0" w:color="auto"/>
      </w:divBdr>
      <w:divsChild>
        <w:div w:id="725954460">
          <w:marLeft w:val="0"/>
          <w:marRight w:val="0"/>
          <w:marTop w:val="0"/>
          <w:marBottom w:val="0"/>
          <w:divBdr>
            <w:top w:val="none" w:sz="0" w:space="0" w:color="auto"/>
            <w:left w:val="none" w:sz="0" w:space="0" w:color="auto"/>
            <w:bottom w:val="none" w:sz="0" w:space="0" w:color="auto"/>
            <w:right w:val="none" w:sz="0" w:space="0" w:color="auto"/>
          </w:divBdr>
        </w:div>
        <w:div w:id="2032603645">
          <w:marLeft w:val="0"/>
          <w:marRight w:val="0"/>
          <w:marTop w:val="0"/>
          <w:marBottom w:val="0"/>
          <w:divBdr>
            <w:top w:val="none" w:sz="0" w:space="0" w:color="auto"/>
            <w:left w:val="none" w:sz="0" w:space="0" w:color="auto"/>
            <w:bottom w:val="none" w:sz="0" w:space="0" w:color="auto"/>
            <w:right w:val="none" w:sz="0" w:space="0" w:color="auto"/>
          </w:divBdr>
        </w:div>
        <w:div w:id="239994809">
          <w:marLeft w:val="0"/>
          <w:marRight w:val="0"/>
          <w:marTop w:val="0"/>
          <w:marBottom w:val="0"/>
          <w:divBdr>
            <w:top w:val="none" w:sz="0" w:space="0" w:color="auto"/>
            <w:left w:val="none" w:sz="0" w:space="0" w:color="auto"/>
            <w:bottom w:val="none" w:sz="0" w:space="0" w:color="auto"/>
            <w:right w:val="none" w:sz="0" w:space="0" w:color="auto"/>
          </w:divBdr>
        </w:div>
      </w:divsChild>
    </w:div>
    <w:div w:id="1303465426">
      <w:bodyDiv w:val="1"/>
      <w:marLeft w:val="0"/>
      <w:marRight w:val="0"/>
      <w:marTop w:val="0"/>
      <w:marBottom w:val="0"/>
      <w:divBdr>
        <w:top w:val="none" w:sz="0" w:space="0" w:color="auto"/>
        <w:left w:val="none" w:sz="0" w:space="0" w:color="auto"/>
        <w:bottom w:val="none" w:sz="0" w:space="0" w:color="auto"/>
        <w:right w:val="none" w:sz="0" w:space="0" w:color="auto"/>
      </w:divBdr>
      <w:divsChild>
        <w:div w:id="467088015">
          <w:marLeft w:val="0"/>
          <w:marRight w:val="0"/>
          <w:marTop w:val="0"/>
          <w:marBottom w:val="0"/>
          <w:divBdr>
            <w:top w:val="none" w:sz="0" w:space="0" w:color="auto"/>
            <w:left w:val="none" w:sz="0" w:space="0" w:color="auto"/>
            <w:bottom w:val="none" w:sz="0" w:space="0" w:color="auto"/>
            <w:right w:val="none" w:sz="0" w:space="0" w:color="auto"/>
          </w:divBdr>
        </w:div>
        <w:div w:id="805467699">
          <w:marLeft w:val="0"/>
          <w:marRight w:val="0"/>
          <w:marTop w:val="0"/>
          <w:marBottom w:val="0"/>
          <w:divBdr>
            <w:top w:val="none" w:sz="0" w:space="0" w:color="auto"/>
            <w:left w:val="none" w:sz="0" w:space="0" w:color="auto"/>
            <w:bottom w:val="none" w:sz="0" w:space="0" w:color="auto"/>
            <w:right w:val="none" w:sz="0" w:space="0" w:color="auto"/>
          </w:divBdr>
        </w:div>
        <w:div w:id="314726951">
          <w:marLeft w:val="0"/>
          <w:marRight w:val="0"/>
          <w:marTop w:val="0"/>
          <w:marBottom w:val="0"/>
          <w:divBdr>
            <w:top w:val="none" w:sz="0" w:space="0" w:color="auto"/>
            <w:left w:val="none" w:sz="0" w:space="0" w:color="auto"/>
            <w:bottom w:val="none" w:sz="0" w:space="0" w:color="auto"/>
            <w:right w:val="none" w:sz="0" w:space="0" w:color="auto"/>
          </w:divBdr>
        </w:div>
        <w:div w:id="1908104306">
          <w:marLeft w:val="0"/>
          <w:marRight w:val="0"/>
          <w:marTop w:val="0"/>
          <w:marBottom w:val="0"/>
          <w:divBdr>
            <w:top w:val="none" w:sz="0" w:space="0" w:color="auto"/>
            <w:left w:val="none" w:sz="0" w:space="0" w:color="auto"/>
            <w:bottom w:val="none" w:sz="0" w:space="0" w:color="auto"/>
            <w:right w:val="none" w:sz="0" w:space="0" w:color="auto"/>
          </w:divBdr>
        </w:div>
        <w:div w:id="1974016904">
          <w:marLeft w:val="0"/>
          <w:marRight w:val="0"/>
          <w:marTop w:val="0"/>
          <w:marBottom w:val="0"/>
          <w:divBdr>
            <w:top w:val="none" w:sz="0" w:space="0" w:color="auto"/>
            <w:left w:val="none" w:sz="0" w:space="0" w:color="auto"/>
            <w:bottom w:val="none" w:sz="0" w:space="0" w:color="auto"/>
            <w:right w:val="none" w:sz="0" w:space="0" w:color="auto"/>
          </w:divBdr>
        </w:div>
      </w:divsChild>
    </w:div>
    <w:div w:id="1407730865">
      <w:bodyDiv w:val="1"/>
      <w:marLeft w:val="0"/>
      <w:marRight w:val="0"/>
      <w:marTop w:val="0"/>
      <w:marBottom w:val="0"/>
      <w:divBdr>
        <w:top w:val="none" w:sz="0" w:space="0" w:color="auto"/>
        <w:left w:val="none" w:sz="0" w:space="0" w:color="auto"/>
        <w:bottom w:val="none" w:sz="0" w:space="0" w:color="auto"/>
        <w:right w:val="none" w:sz="0" w:space="0" w:color="auto"/>
      </w:divBdr>
      <w:divsChild>
        <w:div w:id="2086416415">
          <w:marLeft w:val="0"/>
          <w:marRight w:val="0"/>
          <w:marTop w:val="0"/>
          <w:marBottom w:val="0"/>
          <w:divBdr>
            <w:top w:val="none" w:sz="0" w:space="0" w:color="auto"/>
            <w:left w:val="none" w:sz="0" w:space="0" w:color="auto"/>
            <w:bottom w:val="none" w:sz="0" w:space="0" w:color="auto"/>
            <w:right w:val="none" w:sz="0" w:space="0" w:color="auto"/>
          </w:divBdr>
        </w:div>
        <w:div w:id="655064030">
          <w:marLeft w:val="0"/>
          <w:marRight w:val="0"/>
          <w:marTop w:val="0"/>
          <w:marBottom w:val="0"/>
          <w:divBdr>
            <w:top w:val="none" w:sz="0" w:space="0" w:color="auto"/>
            <w:left w:val="none" w:sz="0" w:space="0" w:color="auto"/>
            <w:bottom w:val="none" w:sz="0" w:space="0" w:color="auto"/>
            <w:right w:val="none" w:sz="0" w:space="0" w:color="auto"/>
          </w:divBdr>
        </w:div>
        <w:div w:id="1017273960">
          <w:marLeft w:val="0"/>
          <w:marRight w:val="0"/>
          <w:marTop w:val="0"/>
          <w:marBottom w:val="0"/>
          <w:divBdr>
            <w:top w:val="none" w:sz="0" w:space="0" w:color="auto"/>
            <w:left w:val="none" w:sz="0" w:space="0" w:color="auto"/>
            <w:bottom w:val="none" w:sz="0" w:space="0" w:color="auto"/>
            <w:right w:val="none" w:sz="0" w:space="0" w:color="auto"/>
          </w:divBdr>
        </w:div>
      </w:divsChild>
    </w:div>
    <w:div w:id="1449354678">
      <w:bodyDiv w:val="1"/>
      <w:marLeft w:val="0"/>
      <w:marRight w:val="0"/>
      <w:marTop w:val="0"/>
      <w:marBottom w:val="0"/>
      <w:divBdr>
        <w:top w:val="none" w:sz="0" w:space="0" w:color="auto"/>
        <w:left w:val="none" w:sz="0" w:space="0" w:color="auto"/>
        <w:bottom w:val="none" w:sz="0" w:space="0" w:color="auto"/>
        <w:right w:val="none" w:sz="0" w:space="0" w:color="auto"/>
      </w:divBdr>
      <w:divsChild>
        <w:div w:id="1035423402">
          <w:marLeft w:val="0"/>
          <w:marRight w:val="0"/>
          <w:marTop w:val="0"/>
          <w:marBottom w:val="0"/>
          <w:divBdr>
            <w:top w:val="none" w:sz="0" w:space="0" w:color="auto"/>
            <w:left w:val="none" w:sz="0" w:space="0" w:color="auto"/>
            <w:bottom w:val="none" w:sz="0" w:space="0" w:color="auto"/>
            <w:right w:val="none" w:sz="0" w:space="0" w:color="auto"/>
          </w:divBdr>
        </w:div>
      </w:divsChild>
    </w:div>
    <w:div w:id="1454863979">
      <w:bodyDiv w:val="1"/>
      <w:marLeft w:val="0"/>
      <w:marRight w:val="0"/>
      <w:marTop w:val="0"/>
      <w:marBottom w:val="0"/>
      <w:divBdr>
        <w:top w:val="none" w:sz="0" w:space="0" w:color="auto"/>
        <w:left w:val="none" w:sz="0" w:space="0" w:color="auto"/>
        <w:bottom w:val="none" w:sz="0" w:space="0" w:color="auto"/>
        <w:right w:val="none" w:sz="0" w:space="0" w:color="auto"/>
      </w:divBdr>
      <w:divsChild>
        <w:div w:id="1894266227">
          <w:marLeft w:val="0"/>
          <w:marRight w:val="0"/>
          <w:marTop w:val="0"/>
          <w:marBottom w:val="0"/>
          <w:divBdr>
            <w:top w:val="none" w:sz="0" w:space="0" w:color="auto"/>
            <w:left w:val="none" w:sz="0" w:space="0" w:color="auto"/>
            <w:bottom w:val="none" w:sz="0" w:space="0" w:color="auto"/>
            <w:right w:val="none" w:sz="0" w:space="0" w:color="auto"/>
          </w:divBdr>
        </w:div>
        <w:div w:id="221446246">
          <w:marLeft w:val="0"/>
          <w:marRight w:val="0"/>
          <w:marTop w:val="0"/>
          <w:marBottom w:val="0"/>
          <w:divBdr>
            <w:top w:val="none" w:sz="0" w:space="0" w:color="auto"/>
            <w:left w:val="none" w:sz="0" w:space="0" w:color="auto"/>
            <w:bottom w:val="none" w:sz="0" w:space="0" w:color="auto"/>
            <w:right w:val="none" w:sz="0" w:space="0" w:color="auto"/>
          </w:divBdr>
        </w:div>
        <w:div w:id="1160997601">
          <w:marLeft w:val="0"/>
          <w:marRight w:val="0"/>
          <w:marTop w:val="0"/>
          <w:marBottom w:val="0"/>
          <w:divBdr>
            <w:top w:val="none" w:sz="0" w:space="0" w:color="auto"/>
            <w:left w:val="none" w:sz="0" w:space="0" w:color="auto"/>
            <w:bottom w:val="none" w:sz="0" w:space="0" w:color="auto"/>
            <w:right w:val="none" w:sz="0" w:space="0" w:color="auto"/>
          </w:divBdr>
        </w:div>
        <w:div w:id="1039933855">
          <w:marLeft w:val="0"/>
          <w:marRight w:val="0"/>
          <w:marTop w:val="0"/>
          <w:marBottom w:val="0"/>
          <w:divBdr>
            <w:top w:val="none" w:sz="0" w:space="0" w:color="auto"/>
            <w:left w:val="none" w:sz="0" w:space="0" w:color="auto"/>
            <w:bottom w:val="none" w:sz="0" w:space="0" w:color="auto"/>
            <w:right w:val="none" w:sz="0" w:space="0" w:color="auto"/>
          </w:divBdr>
        </w:div>
        <w:div w:id="151069461">
          <w:marLeft w:val="0"/>
          <w:marRight w:val="0"/>
          <w:marTop w:val="0"/>
          <w:marBottom w:val="0"/>
          <w:divBdr>
            <w:top w:val="none" w:sz="0" w:space="0" w:color="auto"/>
            <w:left w:val="none" w:sz="0" w:space="0" w:color="auto"/>
            <w:bottom w:val="none" w:sz="0" w:space="0" w:color="auto"/>
            <w:right w:val="none" w:sz="0" w:space="0" w:color="auto"/>
          </w:divBdr>
        </w:div>
      </w:divsChild>
    </w:div>
    <w:div w:id="1682276265">
      <w:bodyDiv w:val="1"/>
      <w:marLeft w:val="0"/>
      <w:marRight w:val="0"/>
      <w:marTop w:val="0"/>
      <w:marBottom w:val="0"/>
      <w:divBdr>
        <w:top w:val="none" w:sz="0" w:space="0" w:color="auto"/>
        <w:left w:val="none" w:sz="0" w:space="0" w:color="auto"/>
        <w:bottom w:val="none" w:sz="0" w:space="0" w:color="auto"/>
        <w:right w:val="none" w:sz="0" w:space="0" w:color="auto"/>
      </w:divBdr>
      <w:divsChild>
        <w:div w:id="227884872">
          <w:marLeft w:val="0"/>
          <w:marRight w:val="0"/>
          <w:marTop w:val="0"/>
          <w:marBottom w:val="0"/>
          <w:divBdr>
            <w:top w:val="none" w:sz="0" w:space="0" w:color="auto"/>
            <w:left w:val="none" w:sz="0" w:space="0" w:color="auto"/>
            <w:bottom w:val="none" w:sz="0" w:space="0" w:color="auto"/>
            <w:right w:val="none" w:sz="0" w:space="0" w:color="auto"/>
          </w:divBdr>
        </w:div>
        <w:div w:id="963344941">
          <w:marLeft w:val="0"/>
          <w:marRight w:val="0"/>
          <w:marTop w:val="0"/>
          <w:marBottom w:val="0"/>
          <w:divBdr>
            <w:top w:val="none" w:sz="0" w:space="0" w:color="auto"/>
            <w:left w:val="none" w:sz="0" w:space="0" w:color="auto"/>
            <w:bottom w:val="none" w:sz="0" w:space="0" w:color="auto"/>
            <w:right w:val="none" w:sz="0" w:space="0" w:color="auto"/>
          </w:divBdr>
        </w:div>
      </w:divsChild>
    </w:div>
    <w:div w:id="1786843622">
      <w:bodyDiv w:val="1"/>
      <w:marLeft w:val="0"/>
      <w:marRight w:val="0"/>
      <w:marTop w:val="0"/>
      <w:marBottom w:val="0"/>
      <w:divBdr>
        <w:top w:val="none" w:sz="0" w:space="0" w:color="auto"/>
        <w:left w:val="none" w:sz="0" w:space="0" w:color="auto"/>
        <w:bottom w:val="none" w:sz="0" w:space="0" w:color="auto"/>
        <w:right w:val="none" w:sz="0" w:space="0" w:color="auto"/>
      </w:divBdr>
      <w:divsChild>
        <w:div w:id="1422263788">
          <w:marLeft w:val="0"/>
          <w:marRight w:val="0"/>
          <w:marTop w:val="0"/>
          <w:marBottom w:val="0"/>
          <w:divBdr>
            <w:top w:val="none" w:sz="0" w:space="0" w:color="auto"/>
            <w:left w:val="none" w:sz="0" w:space="0" w:color="auto"/>
            <w:bottom w:val="none" w:sz="0" w:space="0" w:color="auto"/>
            <w:right w:val="none" w:sz="0" w:space="0" w:color="auto"/>
          </w:divBdr>
        </w:div>
        <w:div w:id="2055739540">
          <w:marLeft w:val="0"/>
          <w:marRight w:val="0"/>
          <w:marTop w:val="0"/>
          <w:marBottom w:val="0"/>
          <w:divBdr>
            <w:top w:val="none" w:sz="0" w:space="0" w:color="auto"/>
            <w:left w:val="none" w:sz="0" w:space="0" w:color="auto"/>
            <w:bottom w:val="none" w:sz="0" w:space="0" w:color="auto"/>
            <w:right w:val="none" w:sz="0" w:space="0" w:color="auto"/>
          </w:divBdr>
        </w:div>
        <w:div w:id="39986000">
          <w:marLeft w:val="0"/>
          <w:marRight w:val="0"/>
          <w:marTop w:val="0"/>
          <w:marBottom w:val="0"/>
          <w:divBdr>
            <w:top w:val="none" w:sz="0" w:space="0" w:color="auto"/>
            <w:left w:val="none" w:sz="0" w:space="0" w:color="auto"/>
            <w:bottom w:val="none" w:sz="0" w:space="0" w:color="auto"/>
            <w:right w:val="none" w:sz="0" w:space="0" w:color="auto"/>
          </w:divBdr>
        </w:div>
        <w:div w:id="2020615091">
          <w:marLeft w:val="0"/>
          <w:marRight w:val="0"/>
          <w:marTop w:val="0"/>
          <w:marBottom w:val="0"/>
          <w:divBdr>
            <w:top w:val="none" w:sz="0" w:space="0" w:color="auto"/>
            <w:left w:val="none" w:sz="0" w:space="0" w:color="auto"/>
            <w:bottom w:val="none" w:sz="0" w:space="0" w:color="auto"/>
            <w:right w:val="none" w:sz="0" w:space="0" w:color="auto"/>
          </w:divBdr>
        </w:div>
        <w:div w:id="1602640479">
          <w:marLeft w:val="0"/>
          <w:marRight w:val="0"/>
          <w:marTop w:val="0"/>
          <w:marBottom w:val="0"/>
          <w:divBdr>
            <w:top w:val="none" w:sz="0" w:space="0" w:color="auto"/>
            <w:left w:val="none" w:sz="0" w:space="0" w:color="auto"/>
            <w:bottom w:val="none" w:sz="0" w:space="0" w:color="auto"/>
            <w:right w:val="none" w:sz="0" w:space="0" w:color="auto"/>
          </w:divBdr>
        </w:div>
        <w:div w:id="1759138210">
          <w:marLeft w:val="0"/>
          <w:marRight w:val="0"/>
          <w:marTop w:val="0"/>
          <w:marBottom w:val="0"/>
          <w:divBdr>
            <w:top w:val="none" w:sz="0" w:space="0" w:color="auto"/>
            <w:left w:val="none" w:sz="0" w:space="0" w:color="auto"/>
            <w:bottom w:val="none" w:sz="0" w:space="0" w:color="auto"/>
            <w:right w:val="none" w:sz="0" w:space="0" w:color="auto"/>
          </w:divBdr>
        </w:div>
      </w:divsChild>
    </w:div>
    <w:div w:id="1787655559">
      <w:bodyDiv w:val="1"/>
      <w:marLeft w:val="0"/>
      <w:marRight w:val="0"/>
      <w:marTop w:val="0"/>
      <w:marBottom w:val="0"/>
      <w:divBdr>
        <w:top w:val="none" w:sz="0" w:space="0" w:color="auto"/>
        <w:left w:val="none" w:sz="0" w:space="0" w:color="auto"/>
        <w:bottom w:val="none" w:sz="0" w:space="0" w:color="auto"/>
        <w:right w:val="none" w:sz="0" w:space="0" w:color="auto"/>
      </w:divBdr>
      <w:divsChild>
        <w:div w:id="601688201">
          <w:marLeft w:val="0"/>
          <w:marRight w:val="0"/>
          <w:marTop w:val="0"/>
          <w:marBottom w:val="0"/>
          <w:divBdr>
            <w:top w:val="none" w:sz="0" w:space="0" w:color="auto"/>
            <w:left w:val="none" w:sz="0" w:space="0" w:color="auto"/>
            <w:bottom w:val="none" w:sz="0" w:space="0" w:color="auto"/>
            <w:right w:val="none" w:sz="0" w:space="0" w:color="auto"/>
          </w:divBdr>
        </w:div>
        <w:div w:id="128255232">
          <w:marLeft w:val="0"/>
          <w:marRight w:val="0"/>
          <w:marTop w:val="0"/>
          <w:marBottom w:val="0"/>
          <w:divBdr>
            <w:top w:val="none" w:sz="0" w:space="0" w:color="auto"/>
            <w:left w:val="none" w:sz="0" w:space="0" w:color="auto"/>
            <w:bottom w:val="none" w:sz="0" w:space="0" w:color="auto"/>
            <w:right w:val="none" w:sz="0" w:space="0" w:color="auto"/>
          </w:divBdr>
        </w:div>
        <w:div w:id="2140830981">
          <w:marLeft w:val="0"/>
          <w:marRight w:val="0"/>
          <w:marTop w:val="0"/>
          <w:marBottom w:val="0"/>
          <w:divBdr>
            <w:top w:val="none" w:sz="0" w:space="0" w:color="auto"/>
            <w:left w:val="none" w:sz="0" w:space="0" w:color="auto"/>
            <w:bottom w:val="none" w:sz="0" w:space="0" w:color="auto"/>
            <w:right w:val="none" w:sz="0" w:space="0" w:color="auto"/>
          </w:divBdr>
        </w:div>
        <w:div w:id="769738381">
          <w:marLeft w:val="0"/>
          <w:marRight w:val="0"/>
          <w:marTop w:val="0"/>
          <w:marBottom w:val="0"/>
          <w:divBdr>
            <w:top w:val="none" w:sz="0" w:space="0" w:color="auto"/>
            <w:left w:val="none" w:sz="0" w:space="0" w:color="auto"/>
            <w:bottom w:val="none" w:sz="0" w:space="0" w:color="auto"/>
            <w:right w:val="none" w:sz="0" w:space="0" w:color="auto"/>
          </w:divBdr>
        </w:div>
        <w:div w:id="36123923">
          <w:marLeft w:val="0"/>
          <w:marRight w:val="0"/>
          <w:marTop w:val="0"/>
          <w:marBottom w:val="0"/>
          <w:divBdr>
            <w:top w:val="none" w:sz="0" w:space="0" w:color="auto"/>
            <w:left w:val="none" w:sz="0" w:space="0" w:color="auto"/>
            <w:bottom w:val="none" w:sz="0" w:space="0" w:color="auto"/>
            <w:right w:val="none" w:sz="0" w:space="0" w:color="auto"/>
          </w:divBdr>
        </w:div>
        <w:div w:id="605387598">
          <w:marLeft w:val="0"/>
          <w:marRight w:val="0"/>
          <w:marTop w:val="0"/>
          <w:marBottom w:val="0"/>
          <w:divBdr>
            <w:top w:val="none" w:sz="0" w:space="0" w:color="auto"/>
            <w:left w:val="none" w:sz="0" w:space="0" w:color="auto"/>
            <w:bottom w:val="none" w:sz="0" w:space="0" w:color="auto"/>
            <w:right w:val="none" w:sz="0" w:space="0" w:color="auto"/>
          </w:divBdr>
        </w:div>
      </w:divsChild>
    </w:div>
    <w:div w:id="1986466295">
      <w:bodyDiv w:val="1"/>
      <w:marLeft w:val="0"/>
      <w:marRight w:val="0"/>
      <w:marTop w:val="0"/>
      <w:marBottom w:val="0"/>
      <w:divBdr>
        <w:top w:val="none" w:sz="0" w:space="0" w:color="auto"/>
        <w:left w:val="none" w:sz="0" w:space="0" w:color="auto"/>
        <w:bottom w:val="none" w:sz="0" w:space="0" w:color="auto"/>
        <w:right w:val="none" w:sz="0" w:space="0" w:color="auto"/>
      </w:divBdr>
      <w:divsChild>
        <w:div w:id="964779090">
          <w:marLeft w:val="0"/>
          <w:marRight w:val="0"/>
          <w:marTop w:val="0"/>
          <w:marBottom w:val="0"/>
          <w:divBdr>
            <w:top w:val="none" w:sz="0" w:space="0" w:color="auto"/>
            <w:left w:val="none" w:sz="0" w:space="0" w:color="auto"/>
            <w:bottom w:val="none" w:sz="0" w:space="0" w:color="auto"/>
            <w:right w:val="none" w:sz="0" w:space="0" w:color="auto"/>
          </w:divBdr>
        </w:div>
        <w:div w:id="1570075279">
          <w:marLeft w:val="0"/>
          <w:marRight w:val="0"/>
          <w:marTop w:val="0"/>
          <w:marBottom w:val="0"/>
          <w:divBdr>
            <w:top w:val="none" w:sz="0" w:space="0" w:color="auto"/>
            <w:left w:val="none" w:sz="0" w:space="0" w:color="auto"/>
            <w:bottom w:val="none" w:sz="0" w:space="0" w:color="auto"/>
            <w:right w:val="none" w:sz="0" w:space="0" w:color="auto"/>
          </w:divBdr>
        </w:div>
      </w:divsChild>
    </w:div>
    <w:div w:id="2067727677">
      <w:bodyDiv w:val="1"/>
      <w:marLeft w:val="0"/>
      <w:marRight w:val="0"/>
      <w:marTop w:val="0"/>
      <w:marBottom w:val="0"/>
      <w:divBdr>
        <w:top w:val="none" w:sz="0" w:space="0" w:color="auto"/>
        <w:left w:val="none" w:sz="0" w:space="0" w:color="auto"/>
        <w:bottom w:val="none" w:sz="0" w:space="0" w:color="auto"/>
        <w:right w:val="none" w:sz="0" w:space="0" w:color="auto"/>
      </w:divBdr>
      <w:divsChild>
        <w:div w:id="1116096302">
          <w:marLeft w:val="0"/>
          <w:marRight w:val="0"/>
          <w:marTop w:val="0"/>
          <w:marBottom w:val="0"/>
          <w:divBdr>
            <w:top w:val="none" w:sz="0" w:space="0" w:color="auto"/>
            <w:left w:val="none" w:sz="0" w:space="0" w:color="auto"/>
            <w:bottom w:val="none" w:sz="0" w:space="0" w:color="auto"/>
            <w:right w:val="none" w:sz="0" w:space="0" w:color="auto"/>
          </w:divBdr>
        </w:div>
        <w:div w:id="1491362371">
          <w:marLeft w:val="0"/>
          <w:marRight w:val="0"/>
          <w:marTop w:val="0"/>
          <w:marBottom w:val="0"/>
          <w:divBdr>
            <w:top w:val="none" w:sz="0" w:space="0" w:color="auto"/>
            <w:left w:val="none" w:sz="0" w:space="0" w:color="auto"/>
            <w:bottom w:val="none" w:sz="0" w:space="0" w:color="auto"/>
            <w:right w:val="none" w:sz="0" w:space="0" w:color="auto"/>
          </w:divBdr>
        </w:div>
        <w:div w:id="1015808354">
          <w:marLeft w:val="0"/>
          <w:marRight w:val="0"/>
          <w:marTop w:val="0"/>
          <w:marBottom w:val="0"/>
          <w:divBdr>
            <w:top w:val="none" w:sz="0" w:space="0" w:color="auto"/>
            <w:left w:val="none" w:sz="0" w:space="0" w:color="auto"/>
            <w:bottom w:val="none" w:sz="0" w:space="0" w:color="auto"/>
            <w:right w:val="none" w:sz="0" w:space="0" w:color="auto"/>
          </w:divBdr>
        </w:div>
        <w:div w:id="922376097">
          <w:marLeft w:val="0"/>
          <w:marRight w:val="0"/>
          <w:marTop w:val="0"/>
          <w:marBottom w:val="0"/>
          <w:divBdr>
            <w:top w:val="none" w:sz="0" w:space="0" w:color="auto"/>
            <w:left w:val="none" w:sz="0" w:space="0" w:color="auto"/>
            <w:bottom w:val="none" w:sz="0" w:space="0" w:color="auto"/>
            <w:right w:val="none" w:sz="0" w:space="0" w:color="auto"/>
          </w:divBdr>
        </w:div>
        <w:div w:id="1804345236">
          <w:marLeft w:val="0"/>
          <w:marRight w:val="0"/>
          <w:marTop w:val="0"/>
          <w:marBottom w:val="0"/>
          <w:divBdr>
            <w:top w:val="none" w:sz="0" w:space="0" w:color="auto"/>
            <w:left w:val="none" w:sz="0" w:space="0" w:color="auto"/>
            <w:bottom w:val="none" w:sz="0" w:space="0" w:color="auto"/>
            <w:right w:val="none" w:sz="0" w:space="0" w:color="auto"/>
          </w:divBdr>
        </w:div>
        <w:div w:id="957107757">
          <w:marLeft w:val="0"/>
          <w:marRight w:val="0"/>
          <w:marTop w:val="0"/>
          <w:marBottom w:val="0"/>
          <w:divBdr>
            <w:top w:val="none" w:sz="0" w:space="0" w:color="auto"/>
            <w:left w:val="none" w:sz="0" w:space="0" w:color="auto"/>
            <w:bottom w:val="none" w:sz="0" w:space="0" w:color="auto"/>
            <w:right w:val="none" w:sz="0" w:space="0" w:color="auto"/>
          </w:divBdr>
        </w:div>
      </w:divsChild>
    </w:div>
    <w:div w:id="2111850919">
      <w:bodyDiv w:val="1"/>
      <w:marLeft w:val="0"/>
      <w:marRight w:val="0"/>
      <w:marTop w:val="0"/>
      <w:marBottom w:val="0"/>
      <w:divBdr>
        <w:top w:val="none" w:sz="0" w:space="0" w:color="auto"/>
        <w:left w:val="none" w:sz="0" w:space="0" w:color="auto"/>
        <w:bottom w:val="none" w:sz="0" w:space="0" w:color="auto"/>
        <w:right w:val="none" w:sz="0" w:space="0" w:color="auto"/>
      </w:divBdr>
      <w:divsChild>
        <w:div w:id="1044133391">
          <w:marLeft w:val="0"/>
          <w:marRight w:val="0"/>
          <w:marTop w:val="0"/>
          <w:marBottom w:val="0"/>
          <w:divBdr>
            <w:top w:val="none" w:sz="0" w:space="0" w:color="auto"/>
            <w:left w:val="none" w:sz="0" w:space="0" w:color="auto"/>
            <w:bottom w:val="none" w:sz="0" w:space="0" w:color="auto"/>
            <w:right w:val="none" w:sz="0" w:space="0" w:color="auto"/>
          </w:divBdr>
        </w:div>
        <w:div w:id="1891333713">
          <w:marLeft w:val="0"/>
          <w:marRight w:val="0"/>
          <w:marTop w:val="0"/>
          <w:marBottom w:val="0"/>
          <w:divBdr>
            <w:top w:val="none" w:sz="0" w:space="0" w:color="auto"/>
            <w:left w:val="none" w:sz="0" w:space="0" w:color="auto"/>
            <w:bottom w:val="none" w:sz="0" w:space="0" w:color="auto"/>
            <w:right w:val="none" w:sz="0" w:space="0" w:color="auto"/>
          </w:divBdr>
        </w:div>
        <w:div w:id="1889412535">
          <w:marLeft w:val="0"/>
          <w:marRight w:val="0"/>
          <w:marTop w:val="0"/>
          <w:marBottom w:val="0"/>
          <w:divBdr>
            <w:top w:val="none" w:sz="0" w:space="0" w:color="auto"/>
            <w:left w:val="none" w:sz="0" w:space="0" w:color="auto"/>
            <w:bottom w:val="none" w:sz="0" w:space="0" w:color="auto"/>
            <w:right w:val="none" w:sz="0" w:space="0" w:color="auto"/>
          </w:divBdr>
        </w:div>
        <w:div w:id="1435831402">
          <w:marLeft w:val="0"/>
          <w:marRight w:val="0"/>
          <w:marTop w:val="0"/>
          <w:marBottom w:val="0"/>
          <w:divBdr>
            <w:top w:val="none" w:sz="0" w:space="0" w:color="auto"/>
            <w:left w:val="none" w:sz="0" w:space="0" w:color="auto"/>
            <w:bottom w:val="none" w:sz="0" w:space="0" w:color="auto"/>
            <w:right w:val="none" w:sz="0" w:space="0" w:color="auto"/>
          </w:divBdr>
        </w:div>
        <w:div w:id="239559944">
          <w:marLeft w:val="0"/>
          <w:marRight w:val="0"/>
          <w:marTop w:val="0"/>
          <w:marBottom w:val="0"/>
          <w:divBdr>
            <w:top w:val="none" w:sz="0" w:space="0" w:color="auto"/>
            <w:left w:val="none" w:sz="0" w:space="0" w:color="auto"/>
            <w:bottom w:val="none" w:sz="0" w:space="0" w:color="auto"/>
            <w:right w:val="none" w:sz="0" w:space="0" w:color="auto"/>
          </w:divBdr>
        </w:div>
        <w:div w:id="1832602069">
          <w:marLeft w:val="0"/>
          <w:marRight w:val="0"/>
          <w:marTop w:val="0"/>
          <w:marBottom w:val="0"/>
          <w:divBdr>
            <w:top w:val="none" w:sz="0" w:space="0" w:color="auto"/>
            <w:left w:val="none" w:sz="0" w:space="0" w:color="auto"/>
            <w:bottom w:val="none" w:sz="0" w:space="0" w:color="auto"/>
            <w:right w:val="none" w:sz="0" w:space="0" w:color="auto"/>
          </w:divBdr>
        </w:div>
      </w:divsChild>
    </w:div>
    <w:div w:id="21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410887560">
          <w:marLeft w:val="0"/>
          <w:marRight w:val="0"/>
          <w:marTop w:val="0"/>
          <w:marBottom w:val="0"/>
          <w:divBdr>
            <w:top w:val="none" w:sz="0" w:space="0" w:color="auto"/>
            <w:left w:val="none" w:sz="0" w:space="0" w:color="auto"/>
            <w:bottom w:val="none" w:sz="0" w:space="0" w:color="auto"/>
            <w:right w:val="none" w:sz="0" w:space="0" w:color="auto"/>
          </w:divBdr>
        </w:div>
        <w:div w:id="1865897538">
          <w:marLeft w:val="0"/>
          <w:marRight w:val="0"/>
          <w:marTop w:val="0"/>
          <w:marBottom w:val="0"/>
          <w:divBdr>
            <w:top w:val="none" w:sz="0" w:space="0" w:color="auto"/>
            <w:left w:val="none" w:sz="0" w:space="0" w:color="auto"/>
            <w:bottom w:val="none" w:sz="0" w:space="0" w:color="auto"/>
            <w:right w:val="none" w:sz="0" w:space="0" w:color="auto"/>
          </w:divBdr>
        </w:div>
        <w:div w:id="617873867">
          <w:marLeft w:val="0"/>
          <w:marRight w:val="0"/>
          <w:marTop w:val="0"/>
          <w:marBottom w:val="0"/>
          <w:divBdr>
            <w:top w:val="none" w:sz="0" w:space="0" w:color="auto"/>
            <w:left w:val="none" w:sz="0" w:space="0" w:color="auto"/>
            <w:bottom w:val="none" w:sz="0" w:space="0" w:color="auto"/>
            <w:right w:val="none" w:sz="0" w:space="0" w:color="auto"/>
          </w:divBdr>
        </w:div>
        <w:div w:id="1785610283">
          <w:marLeft w:val="0"/>
          <w:marRight w:val="0"/>
          <w:marTop w:val="0"/>
          <w:marBottom w:val="0"/>
          <w:divBdr>
            <w:top w:val="none" w:sz="0" w:space="0" w:color="auto"/>
            <w:left w:val="none" w:sz="0" w:space="0" w:color="auto"/>
            <w:bottom w:val="none" w:sz="0" w:space="0" w:color="auto"/>
            <w:right w:val="none" w:sz="0" w:space="0" w:color="auto"/>
          </w:divBdr>
        </w:div>
        <w:div w:id="848567158">
          <w:marLeft w:val="0"/>
          <w:marRight w:val="0"/>
          <w:marTop w:val="0"/>
          <w:marBottom w:val="0"/>
          <w:divBdr>
            <w:top w:val="none" w:sz="0" w:space="0" w:color="auto"/>
            <w:left w:val="none" w:sz="0" w:space="0" w:color="auto"/>
            <w:bottom w:val="none" w:sz="0" w:space="0" w:color="auto"/>
            <w:right w:val="none" w:sz="0" w:space="0" w:color="auto"/>
          </w:divBdr>
        </w:div>
        <w:div w:id="15032744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cI5Bek5VjAUl/ma/eZaluVk9gQ==">CgMxLjAyCmlkLjMwajB6bGwyCWlkLmdqZGd4czIKaWQuMWZvYjl0ZTIKaWQuM3pueXNoNzIJaC4yZXQ5MnAwMghoLnR5amN3dDIKaWQuM2R5NnZrbTIJaC4xdDNoNXNmMgloLjRkMzRvZzgyCWguMnM4ZXlvMTIOaC43d3JiYXlmcnBteG4yCWguM3pueXNoNzIJaC4xN2RwOHZ1MgloLjNyZGNyam44AHIhMS1lak54NjF5MllLRm1BbXJVVXRYOXU2YXplcUtpX2VD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33</Pages>
  <Words>12116</Words>
  <Characters>69067</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PowerCom</dc:creator>
  <cp:lastModifiedBy>THANH GIONG</cp:lastModifiedBy>
  <cp:revision>23</cp:revision>
  <cp:lastPrinted>2025-10-17T04:55:00Z</cp:lastPrinted>
  <dcterms:created xsi:type="dcterms:W3CDTF">2026-07-28T04:36:00Z</dcterms:created>
  <dcterms:modified xsi:type="dcterms:W3CDTF">2026-08-04T08:32:00Z</dcterms:modified>
</cp:coreProperties>
</file>